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0326" w14:textId="217845AF" w:rsidR="003E3AB0" w:rsidRPr="005E531A" w:rsidRDefault="00A055E9" w:rsidP="00BB1042">
      <w:pPr>
        <w:rPr>
          <w:rFonts w:ascii="Arial" w:eastAsia="Times New Roman" w:hAnsi="Arial" w:cs="Arial"/>
          <w:color w:val="000000" w:themeColor="text1"/>
          <w:kern w:val="36"/>
          <w:lang w:eastAsia="en-GB"/>
        </w:rPr>
      </w:pPr>
      <w:r w:rsidRPr="005E531A">
        <w:rPr>
          <w:noProof/>
          <w:lang w:eastAsia="en-GB"/>
        </w:rPr>
        <mc:AlternateContent>
          <mc:Choice Requires="wps">
            <w:drawing>
              <wp:anchor distT="0" distB="0" distL="114300" distR="114300" simplePos="0" relativeHeight="251664384" behindDoc="0" locked="0" layoutInCell="1" allowOverlap="1" wp14:anchorId="1E16010D" wp14:editId="4394006F">
                <wp:simplePos x="0" y="0"/>
                <wp:positionH relativeFrom="column">
                  <wp:posOffset>4572000</wp:posOffset>
                </wp:positionH>
                <wp:positionV relativeFrom="paragraph">
                  <wp:posOffset>-647700</wp:posOffset>
                </wp:positionV>
                <wp:extent cx="16383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400050"/>
                        </a:xfrm>
                        <a:prstGeom prst="rect">
                          <a:avLst/>
                        </a:prstGeom>
                        <a:noFill/>
                        <a:ln w="6350">
                          <a:noFill/>
                        </a:ln>
                      </wps:spPr>
                      <wps:txbx>
                        <w:txbxContent>
                          <w:p w14:paraId="1FB8E1F8" w14:textId="27CBBE03" w:rsidR="00B02F8B" w:rsidRPr="00A055E9" w:rsidRDefault="00B02F8B" w:rsidP="00296305">
                            <w:pPr>
                              <w:jc w:val="right"/>
                              <w:rPr>
                                <w:b/>
                                <w:bCs/>
                                <w:sz w:val="28"/>
                                <w:szCs w:val="28"/>
                              </w:rPr>
                            </w:pPr>
                            <w:r w:rsidRPr="00A055E9">
                              <w:rPr>
                                <w:b/>
                                <w:bCs/>
                                <w:sz w:val="28"/>
                                <w:szCs w:val="28"/>
                              </w:rPr>
                              <w:t xml:space="preserve">APPENDIX </w:t>
                            </w:r>
                            <w:r>
                              <w:rPr>
                                <w:b/>
                                <w:bCs/>
                                <w:sz w:val="28"/>
                                <w:szCs w:val="2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16010D" id="_x0000_t202" coordsize="21600,21600" o:spt="202" path="m,l,21600r21600,l21600,xe">
                <v:stroke joinstyle="miter"/>
                <v:path gradientshapeok="t" o:connecttype="rect"/>
              </v:shapetype>
              <v:shape id="Text Box 2" o:spid="_x0000_s1026" type="#_x0000_t202" style="position:absolute;margin-left:5in;margin-top:-51pt;width:129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juLAIAAFEEAAAOAAAAZHJzL2Uyb0RvYy54bWysVEtv2zAMvg/YfxB0X+w8mrVGnCJrkWFA&#10;0BZIhp4VWYoNSKImKbGzXz9KTtKs22nYRab4UXx8JD2777QiB+F8A6akw0FOiTAcqsbsSvp9s/x0&#10;S4kPzFRMgRElPQpP7+cfP8xaW4gR1KAq4Qg6Mb5obUnrEGyRZZ7XQjM/ACsMghKcZgGvbpdVjrXo&#10;XatslOfTrAVXWQdceI/axx6k8+RfSsHDs5ReBKJKirmFdLp0buOZzWes2Dlm64af0mD/kIVmjcGg&#10;F1ePLDCyd80frnTDHXiQYcBBZyBlw0WqAasZ5u+qWdfMilQLkuPthSb//9zyp8OLI01V0hElhmls&#10;0UZ0gXyBjowiO631BRqtLZqFDtXY5bPeozIW3Umn4xfLIYgjz8cLt9EZj4+m49txjhBHbJLn+U0i&#10;P3t7bZ0PXwVoEoWSOuxdopQdVj5gJmh6NonBDCwbpVL/lCFtSadjdPkbgi+UwYexhj7XKIVu250K&#10;20J1xLoc9HPhLV82GHzFfHhhDgcB88XhDs94SAUYBE4SJTW4n3/TR3vsD6KUtDhYJfU/9swJStQ3&#10;g527G04mcRLTZXLzeYQXd41srxGz1w+AszvENbI8idE+qLMoHehX3IFFjIoQMxxjlzScxYfQjzvu&#10;EBeLRTLC2bMsrMza8ug6khap3XSvzNkT/wE79wTnEWTFuzb0tj3di30A2aQeRYJ7Vk+849ym1p12&#10;LC7G9T1Zvf0J5r8AAAD//wMAUEsDBBQABgAIAAAAIQDZ9O844gAAAAwBAAAPAAAAZHJzL2Rvd25y&#10;ZXYueG1sTI9BT8MwDIXvSPyHyEjctmRFsK40naZKExKCw8Yu3NLGaysapzTZVvj1mBPcnv2enj/n&#10;68n14oxj6DxpWMwVCKTa244aDYe37SwFEaIha3pPqOELA6yL66vcZNZfaIfnfWwEl1DIjIY2xiGT&#10;MtQtOhPmfkBi7+hHZyKPYyPtaC5c7nqZKPUgnemIL7RmwLLF+mN/chqey+2r2VWJS7/78unluBk+&#10;D+/3Wt/eTJtHEBGn+BeGX3xGh4KZKn8iG0SvYcn1HNUwW6iEFUdWy5RFxau7lQJZ5PL/E8UPAAAA&#10;//8DAFBLAQItABQABgAIAAAAIQC2gziS/gAAAOEBAAATAAAAAAAAAAAAAAAAAAAAAABbQ29udGVu&#10;dF9UeXBlc10ueG1sUEsBAi0AFAAGAAgAAAAhADj9If/WAAAAlAEAAAsAAAAAAAAAAAAAAAAALwEA&#10;AF9yZWxzLy5yZWxzUEsBAi0AFAAGAAgAAAAhAPsdiO4sAgAAUQQAAA4AAAAAAAAAAAAAAAAALgIA&#10;AGRycy9lMm9Eb2MueG1sUEsBAi0AFAAGAAgAAAAhANn07zjiAAAADAEAAA8AAAAAAAAAAAAAAAAA&#10;hgQAAGRycy9kb3ducmV2LnhtbFBLBQYAAAAABAAEAPMAAACVBQAAAAA=&#10;" filled="f" stroked="f" strokeweight=".5pt">
                <v:textbox>
                  <w:txbxContent>
                    <w:p w14:paraId="1FB8E1F8" w14:textId="27CBBE03" w:rsidR="00B02F8B" w:rsidRPr="00A055E9" w:rsidRDefault="00B02F8B" w:rsidP="00296305">
                      <w:pPr>
                        <w:jc w:val="right"/>
                        <w:rPr>
                          <w:b/>
                          <w:bCs/>
                          <w:sz w:val="28"/>
                          <w:szCs w:val="28"/>
                        </w:rPr>
                      </w:pPr>
                      <w:r w:rsidRPr="00A055E9">
                        <w:rPr>
                          <w:b/>
                          <w:bCs/>
                          <w:sz w:val="28"/>
                          <w:szCs w:val="28"/>
                        </w:rPr>
                        <w:t xml:space="preserve">APPENDIX </w:t>
                      </w:r>
                      <w:r>
                        <w:rPr>
                          <w:b/>
                          <w:bCs/>
                          <w:sz w:val="28"/>
                          <w:szCs w:val="28"/>
                        </w:rPr>
                        <w:t>C</w:t>
                      </w:r>
                    </w:p>
                  </w:txbxContent>
                </v:textbox>
              </v:shape>
            </w:pict>
          </mc:Fallback>
        </mc:AlternateContent>
      </w:r>
      <w:r w:rsidR="007E4749" w:rsidRPr="005E531A">
        <w:rPr>
          <w:noProof/>
          <w:lang w:eastAsia="en-GB"/>
        </w:rPr>
        <mc:AlternateContent>
          <mc:Choice Requires="wps">
            <w:drawing>
              <wp:anchor distT="0" distB="0" distL="114300" distR="114300" simplePos="0" relativeHeight="251660288" behindDoc="0" locked="0" layoutInCell="1" allowOverlap="1" wp14:anchorId="77D3FF43" wp14:editId="159F101D">
                <wp:simplePos x="0" y="0"/>
                <wp:positionH relativeFrom="column">
                  <wp:posOffset>1638300</wp:posOffset>
                </wp:positionH>
                <wp:positionV relativeFrom="paragraph">
                  <wp:posOffset>113665</wp:posOffset>
                </wp:positionV>
                <wp:extent cx="4535170" cy="29241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4535170" cy="2924175"/>
                        </a:xfrm>
                        <a:prstGeom prst="rect">
                          <a:avLst/>
                        </a:prstGeom>
                        <a:noFill/>
                        <a:ln>
                          <a:noFill/>
                        </a:ln>
                        <a:effectLst/>
                      </wps:spPr>
                      <wps:txbx>
                        <w:txbxContent>
                          <w:p w14:paraId="7C432BF7" w14:textId="6EF132C5" w:rsidR="00B02F8B" w:rsidRDefault="00B02F8B" w:rsidP="00693355">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SOUTH RIBBLE MEDIUM TERM FINANCIAL STRATEGY</w:t>
                            </w:r>
                          </w:p>
                          <w:p w14:paraId="4AF7049F" w14:textId="43111E69" w:rsidR="00B02F8B" w:rsidRPr="00210AEC" w:rsidRDefault="00B02F8B" w:rsidP="00693355">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2022/23 to 2024/25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FF43" id="Text Box 3" o:spid="_x0000_s1027" type="#_x0000_t202" style="position:absolute;margin-left:129pt;margin-top:8.95pt;width:357.1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nyLQIAAF4EAAAOAAAAZHJzL2Uyb0RvYy54bWysVE1vGjEQvVfqf7B8L8vy0SQrlogmoqqE&#10;kkhQ5Wy8NruS7XFtwy799R17gdC0p6oXM1/7PDPvmdl9pxU5COcbMCXNB0NKhOFQNWZX0u+b5adb&#10;SnxgpmIKjCjpUXh6P//4YdbaQoygBlUJRxDE+KK1Ja1DsEWWeV4LzfwArDCYlOA0C+i6XVY51iK6&#10;VtloOPycteAq64AL7zH62CfpPOFLKXh4ltKLQFRJsbeQTpfObTyz+YwVO8ds3fBTG+wfutCsMXjp&#10;BeqRBUb2rvkDSjfcgQcZBhx0BlI2XKQZcJp8+G6adc2sSLPgcry9rMn/P1j+dHhxpKlKOqbEMI0U&#10;bUQXyBfoyDhup7W+wKK1xbLQYRhZPsc9BuPQnXQ6/uI4BPO45+NltxGMY3AyHU/zG0xxzI3uRpP8&#10;ZhpxsrfPrfPhqwBNolFSh+SlnbLDyoe+9FwSbzOwbJRKBCrzWwAx+4hICjh9HSfpO45W6LZdmvsy&#10;zRaqIw7poBeJt3zZYCMr5sMLc6gKbB6VHp7xkAraksLJoqQG9/Nv8ViPZGGWkhZVVlL/Y8+coER9&#10;M0jjXT6ZRFkmZzK9GaHjrjPb64zZ6wdAIef4pixPZqwP6mxKB/oVH8Qi3oopZjjeXdJwNh9Cr318&#10;UFwsFqkIhWhZWJm15RE6bjKuedO9MmdPXASk8QnOemTFO0r62p6DxT6AbBJfcc/9VpHn6KCIE+On&#10;BxdfybWfqt7+Fua/AAAA//8DAFBLAwQUAAYACAAAACEADU7tYt4AAAAKAQAADwAAAGRycy9kb3du&#10;cmV2LnhtbEyPzU7DMBCE70i8g7VI3KhNlJIf4lQIxBVEgUq9ufE2iYjXUew24e1ZTnAczWjmm2qz&#10;uEGccQq9Jw23KwUCqfG2p1bDx/vzTQ4iREPWDJ5QwzcG2NSXF5UprZ/pDc/b2AouoVAaDV2MYyll&#10;aDp0Jqz8iMTe0U/ORJZTK+1kZi53g0yUupPO9MQLnRnxscPma3tyGj5fjvtdql7bJ7ceZ78oSa6Q&#10;Wl9fLQ/3ICIu8S8Mv/iMDjUzHfyJbBCDhmSd85fIRlaA4ECRJQmIg4Y0y1OQdSX/X6h/AAAA//8D&#10;AFBLAQItABQABgAIAAAAIQC2gziS/gAAAOEBAAATAAAAAAAAAAAAAAAAAAAAAABbQ29udGVudF9U&#10;eXBlc10ueG1sUEsBAi0AFAAGAAgAAAAhADj9If/WAAAAlAEAAAsAAAAAAAAAAAAAAAAALwEAAF9y&#10;ZWxzLy5yZWxzUEsBAi0AFAAGAAgAAAAhAJnZmfItAgAAXgQAAA4AAAAAAAAAAAAAAAAALgIAAGRy&#10;cy9lMm9Eb2MueG1sUEsBAi0AFAAGAAgAAAAhAA1O7WLeAAAACgEAAA8AAAAAAAAAAAAAAAAAhwQA&#10;AGRycy9kb3ducmV2LnhtbFBLBQYAAAAABAAEAPMAAACSBQAAAAA=&#10;" filled="f" stroked="f">
                <v:textbox>
                  <w:txbxContent>
                    <w:p w14:paraId="7C432BF7" w14:textId="6EF132C5" w:rsidR="00B02F8B" w:rsidRDefault="00B02F8B" w:rsidP="00693355">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SOUTH RIBBLE MEDIUM TERM FINANCIAL STRATEGY</w:t>
                      </w:r>
                    </w:p>
                    <w:p w14:paraId="4AF7049F" w14:textId="43111E69" w:rsidR="00B02F8B" w:rsidRPr="00210AEC" w:rsidRDefault="00B02F8B" w:rsidP="00693355">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r>
                        <w:rPr>
                          <w:rFonts w:ascii="Arial" w:eastAsia="Times New Roman" w:hAnsi="Arial" w:cs="Arial"/>
                          <w:bCs/>
                          <w:color w:val="000000" w:themeColor="text1"/>
                          <w:kern w:val="36"/>
                          <w:sz w:val="50"/>
                          <w:szCs w:val="50"/>
                          <w:lang w:val="en"/>
                        </w:rPr>
                        <w:t>2022/23 to 2024/25</w:t>
                      </w:r>
                    </w:p>
                  </w:txbxContent>
                </v:textbox>
                <w10:wrap type="square"/>
              </v:shape>
            </w:pict>
          </mc:Fallback>
        </mc:AlternateContent>
      </w:r>
      <w:r w:rsidR="003E3AB0" w:rsidRPr="005E531A">
        <w:rPr>
          <w:rFonts w:ascii="Arial" w:eastAsia="Times New Roman" w:hAnsi="Arial" w:cs="Arial"/>
          <w:noProof/>
          <w:color w:val="000000" w:themeColor="text1"/>
          <w:kern w:val="36"/>
          <w:lang w:eastAsia="en-GB"/>
        </w:rPr>
        <w:drawing>
          <wp:anchor distT="0" distB="0" distL="114300" distR="114300" simplePos="0" relativeHeight="251658240" behindDoc="1" locked="0" layoutInCell="1" allowOverlap="1" wp14:anchorId="7093940A" wp14:editId="4FE71579">
            <wp:simplePos x="0" y="0"/>
            <wp:positionH relativeFrom="column">
              <wp:posOffset>-882015</wp:posOffset>
            </wp:positionH>
            <wp:positionV relativeFrom="page">
              <wp:posOffset>2540</wp:posOffset>
            </wp:positionV>
            <wp:extent cx="7543800" cy="106705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A4 internal doc template 2020 v1 media proto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margin">
              <wp14:pctWidth>0</wp14:pctWidth>
            </wp14:sizeRelH>
            <wp14:sizeRelV relativeFrom="margin">
              <wp14:pctHeight>0</wp14:pctHeight>
            </wp14:sizeRelV>
          </wp:anchor>
        </w:drawing>
      </w:r>
    </w:p>
    <w:p w14:paraId="6FFC8173" w14:textId="155B42B2" w:rsidR="003E3AB0" w:rsidRPr="005E531A" w:rsidRDefault="003E3AB0" w:rsidP="00BB1042">
      <w:pPr>
        <w:rPr>
          <w:lang w:eastAsia="en-GB"/>
        </w:rPr>
      </w:pPr>
    </w:p>
    <w:p w14:paraId="44FEFEE8" w14:textId="5853C2E7" w:rsidR="003E3AB0" w:rsidRPr="005E531A" w:rsidRDefault="003E3AB0" w:rsidP="00BB1042">
      <w:pPr>
        <w:rPr>
          <w:lang w:eastAsia="en-GB"/>
        </w:rPr>
      </w:pPr>
    </w:p>
    <w:p w14:paraId="7A2066DD" w14:textId="5210664A" w:rsidR="003E3AB0" w:rsidRPr="005E531A" w:rsidRDefault="003E3AB0" w:rsidP="00BB1042">
      <w:pPr>
        <w:rPr>
          <w:lang w:eastAsia="en-GB"/>
        </w:rPr>
      </w:pPr>
    </w:p>
    <w:p w14:paraId="481733D5" w14:textId="77777777" w:rsidR="003E3AB0" w:rsidRPr="005E531A" w:rsidRDefault="003E3AB0" w:rsidP="00BB1042">
      <w:pPr>
        <w:rPr>
          <w:lang w:eastAsia="en-GB"/>
        </w:rPr>
      </w:pPr>
    </w:p>
    <w:p w14:paraId="3D2C3C7C" w14:textId="77777777" w:rsidR="003E3AB0" w:rsidRPr="005E531A" w:rsidRDefault="003E3AB0" w:rsidP="00BB1042">
      <w:pPr>
        <w:rPr>
          <w:lang w:eastAsia="en-GB"/>
        </w:rPr>
      </w:pPr>
    </w:p>
    <w:p w14:paraId="65192D2C" w14:textId="77777777" w:rsidR="003E3AB0" w:rsidRPr="005E531A" w:rsidRDefault="003E3AB0" w:rsidP="00BB1042">
      <w:pPr>
        <w:rPr>
          <w:rFonts w:ascii="Arial" w:eastAsia="Times New Roman" w:hAnsi="Arial" w:cs="Arial"/>
          <w:b/>
          <w:bCs/>
          <w:color w:val="000000" w:themeColor="text1"/>
          <w:kern w:val="36"/>
          <w:lang w:eastAsia="en-GB"/>
        </w:rPr>
      </w:pPr>
    </w:p>
    <w:p w14:paraId="11E6DFCE" w14:textId="77777777" w:rsidR="003E3AB0" w:rsidRPr="005E531A" w:rsidRDefault="003E3AB0" w:rsidP="00BB1042">
      <w:pPr>
        <w:rPr>
          <w:lang w:eastAsia="en-GB"/>
        </w:rPr>
      </w:pPr>
    </w:p>
    <w:p w14:paraId="6124AE1C" w14:textId="77777777" w:rsidR="003E3AB0" w:rsidRPr="005E531A" w:rsidRDefault="003E3AB0" w:rsidP="00BB1042">
      <w:pPr>
        <w:rPr>
          <w:rFonts w:ascii="Arial" w:eastAsia="Times New Roman" w:hAnsi="Arial" w:cs="Arial"/>
          <w:b/>
          <w:bCs/>
          <w:color w:val="000000" w:themeColor="text1"/>
          <w:kern w:val="36"/>
          <w:lang w:eastAsia="en-GB"/>
        </w:rPr>
      </w:pPr>
    </w:p>
    <w:p w14:paraId="573864ED" w14:textId="77777777" w:rsidR="003E3AB0" w:rsidRPr="005E531A" w:rsidRDefault="003E3AB0" w:rsidP="00BB1042">
      <w:pPr>
        <w:rPr>
          <w:rFonts w:ascii="Arial" w:eastAsia="Times New Roman" w:hAnsi="Arial" w:cs="Arial"/>
          <w:b/>
          <w:bCs/>
          <w:color w:val="000000" w:themeColor="text1"/>
          <w:kern w:val="36"/>
          <w:lang w:eastAsia="en-GB"/>
        </w:rPr>
      </w:pPr>
    </w:p>
    <w:p w14:paraId="2984C27F" w14:textId="77777777" w:rsidR="003E3AB0" w:rsidRPr="005E531A" w:rsidRDefault="003E3AB0" w:rsidP="00BB1042">
      <w:pPr>
        <w:rPr>
          <w:lang w:eastAsia="en-GB"/>
        </w:rPr>
      </w:pPr>
    </w:p>
    <w:p w14:paraId="65265947" w14:textId="77777777" w:rsidR="003E3AB0" w:rsidRPr="005E531A" w:rsidRDefault="003E3AB0" w:rsidP="00BB1042">
      <w:pPr>
        <w:rPr>
          <w:lang w:eastAsia="en-GB"/>
        </w:rPr>
      </w:pPr>
    </w:p>
    <w:p w14:paraId="0B3BDC27" w14:textId="77777777" w:rsidR="003E3AB0" w:rsidRPr="005E531A" w:rsidRDefault="003E3AB0" w:rsidP="00BB1042">
      <w:pPr>
        <w:rPr>
          <w:lang w:eastAsia="en-GB"/>
        </w:rPr>
      </w:pPr>
    </w:p>
    <w:p w14:paraId="1279721A" w14:textId="77777777" w:rsidR="003E3AB0" w:rsidRPr="005E531A" w:rsidRDefault="003E3AB0" w:rsidP="00BB1042">
      <w:pPr>
        <w:rPr>
          <w:lang w:eastAsia="en-GB"/>
        </w:rPr>
      </w:pPr>
    </w:p>
    <w:p w14:paraId="581B102F" w14:textId="77777777" w:rsidR="003E3AB0" w:rsidRPr="005E531A" w:rsidRDefault="003E3AB0" w:rsidP="00BB1042">
      <w:pPr>
        <w:rPr>
          <w:rFonts w:ascii="Arial" w:eastAsia="Times New Roman" w:hAnsi="Arial" w:cs="Arial"/>
          <w:b/>
          <w:bCs/>
          <w:color w:val="000000" w:themeColor="text1"/>
          <w:kern w:val="36"/>
          <w:lang w:eastAsia="en-GB"/>
        </w:rPr>
      </w:pPr>
    </w:p>
    <w:p w14:paraId="2148B285" w14:textId="77777777" w:rsidR="003E3AB0" w:rsidRPr="005E531A" w:rsidRDefault="003E3AB0" w:rsidP="00BB1042">
      <w:pPr>
        <w:rPr>
          <w:rFonts w:ascii="Arial" w:eastAsia="Times New Roman" w:hAnsi="Arial" w:cs="Arial"/>
          <w:b/>
          <w:bCs/>
          <w:color w:val="000000" w:themeColor="text1"/>
          <w:kern w:val="36"/>
          <w:lang w:eastAsia="en-GB"/>
        </w:rPr>
      </w:pPr>
    </w:p>
    <w:p w14:paraId="7CF54AD1" w14:textId="77777777" w:rsidR="003E3AB0" w:rsidRPr="005E531A" w:rsidRDefault="003E3AB0" w:rsidP="00BB1042">
      <w:pPr>
        <w:rPr>
          <w:rFonts w:ascii="Arial" w:eastAsia="Times New Roman" w:hAnsi="Arial" w:cs="Arial"/>
          <w:b/>
          <w:bCs/>
          <w:color w:val="000000" w:themeColor="text1"/>
          <w:kern w:val="36"/>
          <w:lang w:eastAsia="en-GB"/>
        </w:rPr>
      </w:pPr>
    </w:p>
    <w:p w14:paraId="69441E19" w14:textId="77777777" w:rsidR="003E3AB0" w:rsidRPr="005E531A" w:rsidRDefault="003E3AB0" w:rsidP="00BB1042">
      <w:pPr>
        <w:rPr>
          <w:rFonts w:ascii="Arial" w:eastAsia="Times New Roman" w:hAnsi="Arial" w:cs="Arial"/>
          <w:b/>
          <w:bCs/>
          <w:color w:val="000000" w:themeColor="text1"/>
          <w:kern w:val="36"/>
          <w:lang w:eastAsia="en-GB"/>
        </w:rPr>
      </w:pPr>
    </w:p>
    <w:p w14:paraId="75438DC1" w14:textId="77777777" w:rsidR="003E3AB0" w:rsidRPr="005E531A" w:rsidRDefault="003E3AB0" w:rsidP="00BB1042">
      <w:pPr>
        <w:rPr>
          <w:rFonts w:ascii="Arial" w:eastAsia="Times New Roman" w:hAnsi="Arial" w:cs="Arial"/>
          <w:b/>
          <w:bCs/>
          <w:color w:val="000000" w:themeColor="text1"/>
          <w:kern w:val="36"/>
          <w:lang w:eastAsia="en-GB"/>
        </w:rPr>
      </w:pPr>
    </w:p>
    <w:p w14:paraId="68A657B9" w14:textId="77777777" w:rsidR="007E4749" w:rsidRPr="005E531A" w:rsidRDefault="007E4749" w:rsidP="007E4749">
      <w:pPr>
        <w:jc w:val="both"/>
        <w:rPr>
          <w:rFonts w:ascii="Arial" w:eastAsia="Times New Roman" w:hAnsi="Arial" w:cs="Arial"/>
          <w:b/>
          <w:bCs/>
          <w:color w:val="000000" w:themeColor="text1"/>
          <w:kern w:val="36"/>
          <w:lang w:eastAsia="en-GB"/>
        </w:rPr>
      </w:pPr>
    </w:p>
    <w:p w14:paraId="50805036" w14:textId="77777777" w:rsidR="007E4749" w:rsidRPr="005E531A" w:rsidRDefault="007E4749" w:rsidP="007E4749">
      <w:pPr>
        <w:jc w:val="both"/>
        <w:rPr>
          <w:rFonts w:ascii="Arial" w:eastAsia="Times New Roman" w:hAnsi="Arial" w:cs="Arial"/>
          <w:b/>
          <w:bCs/>
          <w:color w:val="000000" w:themeColor="text1"/>
          <w:kern w:val="36"/>
          <w:lang w:eastAsia="en-GB"/>
        </w:rPr>
      </w:pPr>
    </w:p>
    <w:p w14:paraId="2446D219" w14:textId="77777777" w:rsidR="007E4749" w:rsidRPr="005E531A" w:rsidRDefault="007E4749" w:rsidP="007E4749">
      <w:pPr>
        <w:jc w:val="both"/>
        <w:rPr>
          <w:rFonts w:asciiTheme="majorHAnsi" w:hAnsiTheme="majorHAnsi" w:cstheme="majorHAnsi"/>
          <w:b/>
          <w:bCs/>
          <w:color w:val="147FA8"/>
          <w:sz w:val="28"/>
          <w:szCs w:val="28"/>
        </w:rPr>
      </w:pPr>
    </w:p>
    <w:p w14:paraId="0904BD0E" w14:textId="77777777" w:rsidR="00BB1042" w:rsidRDefault="00BB1042">
      <w:pPr>
        <w:rPr>
          <w:rFonts w:asciiTheme="majorHAnsi" w:hAnsiTheme="majorHAnsi" w:cstheme="majorHAnsi"/>
          <w:b/>
          <w:bCs/>
          <w:color w:val="147FA8"/>
          <w:sz w:val="28"/>
          <w:szCs w:val="28"/>
        </w:rPr>
      </w:pPr>
      <w:r>
        <w:rPr>
          <w:rFonts w:asciiTheme="majorHAnsi" w:hAnsiTheme="majorHAnsi" w:cstheme="majorHAnsi"/>
          <w:b/>
          <w:bCs/>
          <w:color w:val="147FA8"/>
          <w:sz w:val="28"/>
          <w:szCs w:val="28"/>
        </w:rPr>
        <w:br w:type="page"/>
      </w:r>
    </w:p>
    <w:p w14:paraId="490D1A97" w14:textId="283D73A5" w:rsidR="004D3AF0" w:rsidRPr="005809C6" w:rsidRDefault="004D3AF0" w:rsidP="00BB1042">
      <w:pPr>
        <w:pStyle w:val="Heading1"/>
        <w:rPr>
          <w:rFonts w:asciiTheme="majorHAnsi" w:hAnsiTheme="majorHAnsi" w:cstheme="majorHAnsi"/>
          <w:color w:val="147FA8"/>
        </w:rPr>
      </w:pPr>
      <w:r w:rsidRPr="005809C6">
        <w:rPr>
          <w:rFonts w:asciiTheme="majorHAnsi" w:eastAsiaTheme="minorHAnsi" w:hAnsiTheme="majorHAnsi" w:cstheme="majorHAnsi"/>
          <w:color w:val="147FA8"/>
          <w:kern w:val="0"/>
          <w:sz w:val="28"/>
          <w:szCs w:val="28"/>
          <w:lang w:eastAsia="en-US"/>
        </w:rPr>
        <w:lastRenderedPageBreak/>
        <w:t>FOREWARD</w:t>
      </w:r>
    </w:p>
    <w:p w14:paraId="44C35371" w14:textId="77777777" w:rsidR="00376EAF" w:rsidRPr="005E531A" w:rsidRDefault="00376EAF" w:rsidP="00376EAF">
      <w:pPr>
        <w:ind w:left="1440"/>
        <w:jc w:val="both"/>
        <w:rPr>
          <w:rFonts w:ascii="Arial" w:hAnsi="Arial" w:cs="Arial"/>
          <w:szCs w:val="20"/>
        </w:rPr>
      </w:pPr>
    </w:p>
    <w:p w14:paraId="509F42E5" w14:textId="76B48B8A" w:rsidR="00376EAF" w:rsidRPr="00A34438" w:rsidRDefault="00F354E6" w:rsidP="00376EAF">
      <w:pPr>
        <w:ind w:left="1440"/>
        <w:jc w:val="both"/>
        <w:rPr>
          <w:rFonts w:ascii="Arial" w:hAnsi="Arial" w:cs="Arial"/>
          <w:szCs w:val="20"/>
          <w:highlight w:val="yellow"/>
        </w:rPr>
      </w:pPr>
      <w:r w:rsidRPr="00A34438">
        <w:rPr>
          <w:noProof/>
          <w:highlight w:val="yellow"/>
        </w:rPr>
        <mc:AlternateContent>
          <mc:Choice Requires="wps">
            <w:drawing>
              <wp:anchor distT="0" distB="0" distL="114300" distR="114300" simplePos="0" relativeHeight="251662336" behindDoc="0" locked="0" layoutInCell="1" allowOverlap="1" wp14:anchorId="25F0DB94" wp14:editId="010FD811">
                <wp:simplePos x="0" y="0"/>
                <wp:positionH relativeFrom="column">
                  <wp:posOffset>-542925</wp:posOffset>
                </wp:positionH>
                <wp:positionV relativeFrom="paragraph">
                  <wp:posOffset>1873250</wp:posOffset>
                </wp:positionV>
                <wp:extent cx="1279525" cy="9620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795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4727E" w14:textId="7EEA1B90" w:rsidR="00B02F8B" w:rsidRDefault="00B02F8B" w:rsidP="00376EAF">
                            <w:pPr>
                              <w:spacing w:after="0"/>
                              <w:rPr>
                                <w:rFonts w:ascii="Arial" w:hAnsi="Arial" w:cs="Arial"/>
                                <w:b/>
                                <w:sz w:val="18"/>
                              </w:rPr>
                            </w:pPr>
                            <w:r>
                              <w:rPr>
                                <w:rFonts w:ascii="Arial" w:hAnsi="Arial" w:cs="Arial"/>
                                <w:b/>
                                <w:sz w:val="18"/>
                              </w:rPr>
                              <w:t>Councillor Matthew Tomlinson</w:t>
                            </w:r>
                          </w:p>
                          <w:p w14:paraId="25490851" w14:textId="4E46253B" w:rsidR="00B02F8B" w:rsidRPr="00376EAF" w:rsidRDefault="00B02F8B" w:rsidP="00376EAF">
                            <w:pPr>
                              <w:spacing w:after="0"/>
                              <w:rPr>
                                <w:rFonts w:ascii="Arial" w:hAnsi="Arial" w:cs="Arial"/>
                                <w:sz w:val="16"/>
                                <w:szCs w:val="20"/>
                              </w:rPr>
                            </w:pPr>
                            <w:r w:rsidRPr="00376EAF">
                              <w:rPr>
                                <w:sz w:val="18"/>
                                <w:szCs w:val="18"/>
                                <w:lang w:val="en"/>
                              </w:rPr>
                              <w:t>Cabinet Member (Finance, Property and 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F0DB94" id="Text Box 16" o:spid="_x0000_s1028" type="#_x0000_t202" style="position:absolute;left:0;text-align:left;margin-left:-42.75pt;margin-top:147.5pt;width:100.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b6fwIAAGsFAAAOAAAAZHJzL2Uyb0RvYy54bWysVF9v2jAQf5+072D5fQSyQgdqqFgrpklV&#10;Ww2mPhvHLtFsn2cbEvbpd3YSQGwvnfZin+9+d77/N7eNVmQvnK/AFHQ0GFIiDIeyMq8F/b5efvhE&#10;iQ/MlEyBEQU9CE9v5+/f3dR2JnLYgiqFI2jE+FltC7oNwc6yzPOt0MwPwAqDQglOs4BP95qVjtVo&#10;XassHw4nWQ2utA648B65962QzpN9KQUPT1J6EYgqKPoW0unSuYlnNr9hs1fH7LbinRvsH7zQrDL4&#10;6dHUPQuM7Fz1hyldcQceZBhw0BlIWXGRYsBoRsOLaFZbZkWKBZPj7TFN/v+Z5Y/7Z0eqEms3ocQw&#10;jTVaiyaQz9AQZGF+autnCFtZBIYG+Yjt+R6ZMexGOh1vDIigHDN9OGY3WuNRKb+ejvMxJRxl00k+&#10;RBrNZydt63z4IkCTSBTUYfVSUtn+wYcW2kPiZwaWlVKpgsqQuqCTj+NhUjhK0LgyEStSL3RmYkSt&#10;54kKByUiRplvQmIuUgCRkbpQ3ClH9gz7h3EuTEixJ7uIjiiJTrxFscOfvHqLchtH/zOYcFTWlQGX&#10;or9wu/zRuyxbPOb8LO5IhmbTpCbI+8JuoDxgvR20E+MtX1ZYlAfmwzNzOCJYYhz78ISHVIDJh46i&#10;ZAvu19/4EY+di1JKahy5gvqfO+YEJeqrwZ6ejq6u4oymx9X4OseHO5dsziVmp+8AqzLCBWN5IiM+&#10;qJ6UDvQLbodF/BVFzHD8u6ChJ+9Cuwhwu3CxWCQQTqVl4cGsLI+mY5Fiy62bF+Zs15cBO/oR+uFk&#10;s4v2bLFR08BiF0BWqXdjntusdvnHiU7d322fuDLO3wl12pHz3wAAAP//AwBQSwMEFAAGAAgAAAAh&#10;AAAOSqziAAAACwEAAA8AAABkcnMvZG93bnJldi54bWxMj8FqwzAMhu+DvYNRYbfWaahDlsUpJVAG&#10;Yzu062U3J1aT0FjOYrfN9vRzT+tNQh+/vj9fT6ZnFxxdZ0nCchEBQ6qt7qiRcPjczlNgzivSqreE&#10;En7Qwbp4fMhVpu2VdnjZ+4aFEHKZktB6P2Scu7pFo9zCDkjhdrSjUT6sY8P1qK4h3PQ8jqKEG9VR&#10;+NCqAcsW69P+bCS8ldsPtatik/725ev7cTN8H76ElE+zafMCzOPk/2G46Qd1KIJTZc+kHeslzFMh&#10;Aiohfhah1I1YJmGoJKxWiQBe5Py+Q/EHAAD//wMAUEsBAi0AFAAGAAgAAAAhALaDOJL+AAAA4QEA&#10;ABMAAAAAAAAAAAAAAAAAAAAAAFtDb250ZW50X1R5cGVzXS54bWxQSwECLQAUAAYACAAAACEAOP0h&#10;/9YAAACUAQAACwAAAAAAAAAAAAAAAAAvAQAAX3JlbHMvLnJlbHNQSwECLQAUAAYACAAAACEAcTpm&#10;+n8CAABrBQAADgAAAAAAAAAAAAAAAAAuAgAAZHJzL2Uyb0RvYy54bWxQSwECLQAUAAYACAAAACEA&#10;AA5KrOIAAAALAQAADwAAAAAAAAAAAAAAAADZBAAAZHJzL2Rvd25yZXYueG1sUEsFBgAAAAAEAAQA&#10;8wAAAOgFAAAAAA==&#10;" filled="f" stroked="f" strokeweight=".5pt">
                <v:textbox>
                  <w:txbxContent>
                    <w:p w14:paraId="2424727E" w14:textId="7EEA1B90" w:rsidR="00B02F8B" w:rsidRDefault="00B02F8B" w:rsidP="00376EAF">
                      <w:pPr>
                        <w:spacing w:after="0"/>
                        <w:rPr>
                          <w:rFonts w:ascii="Arial" w:hAnsi="Arial" w:cs="Arial"/>
                          <w:b/>
                          <w:sz w:val="18"/>
                        </w:rPr>
                      </w:pPr>
                      <w:r>
                        <w:rPr>
                          <w:rFonts w:ascii="Arial" w:hAnsi="Arial" w:cs="Arial"/>
                          <w:b/>
                          <w:sz w:val="18"/>
                        </w:rPr>
                        <w:t>Councillor Matthew Tomlinson</w:t>
                      </w:r>
                    </w:p>
                    <w:p w14:paraId="25490851" w14:textId="4E46253B" w:rsidR="00B02F8B" w:rsidRPr="00376EAF" w:rsidRDefault="00B02F8B" w:rsidP="00376EAF">
                      <w:pPr>
                        <w:spacing w:after="0"/>
                        <w:rPr>
                          <w:rFonts w:ascii="Arial" w:hAnsi="Arial" w:cs="Arial"/>
                          <w:sz w:val="16"/>
                          <w:szCs w:val="20"/>
                        </w:rPr>
                      </w:pPr>
                      <w:r w:rsidRPr="00376EAF">
                        <w:rPr>
                          <w:sz w:val="18"/>
                          <w:szCs w:val="18"/>
                          <w:lang w:val="en"/>
                        </w:rPr>
                        <w:t>Cabinet Member (Finance, Property and Assets)</w:t>
                      </w:r>
                    </w:p>
                  </w:txbxContent>
                </v:textbox>
              </v:shape>
            </w:pict>
          </mc:Fallback>
        </mc:AlternateContent>
      </w:r>
      <w:r w:rsidR="00376EAF" w:rsidRPr="002102FA">
        <w:rPr>
          <w:rFonts w:ascii="Arial" w:hAnsi="Arial" w:cs="Arial"/>
          <w:noProof/>
          <w:szCs w:val="20"/>
        </w:rPr>
        <mc:AlternateContent>
          <mc:Choice Requires="wps">
            <w:drawing>
              <wp:anchor distT="0" distB="0" distL="114300" distR="114300" simplePos="0" relativeHeight="251663360" behindDoc="0" locked="0" layoutInCell="1" allowOverlap="1" wp14:anchorId="436C6F40" wp14:editId="3E6108B5">
                <wp:simplePos x="0" y="0"/>
                <wp:positionH relativeFrom="column">
                  <wp:posOffset>-542925</wp:posOffset>
                </wp:positionH>
                <wp:positionV relativeFrom="paragraph">
                  <wp:posOffset>107950</wp:posOffset>
                </wp:positionV>
                <wp:extent cx="1190625"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90625" cy="1447800"/>
                        </a:xfrm>
                        <a:prstGeom prst="rect">
                          <a:avLst/>
                        </a:prstGeom>
                        <a:noFill/>
                        <a:ln w="6350">
                          <a:noFill/>
                        </a:ln>
                      </wps:spPr>
                      <wps:txbx>
                        <w:txbxContent>
                          <w:p w14:paraId="0DEF66AF" w14:textId="075A1703" w:rsidR="00B02F8B" w:rsidRDefault="00F354E6">
                            <w:r>
                              <w:rPr>
                                <w:noProof/>
                              </w:rPr>
                              <w:drawing>
                                <wp:inline distT="0" distB="0" distL="0" distR="0" wp14:anchorId="26317488" wp14:editId="52503FD9">
                                  <wp:extent cx="1000125" cy="1447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447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6C6F40" id="Text Box 7" o:spid="_x0000_s1029" type="#_x0000_t202" style="position:absolute;left:0;text-align:left;margin-left:-42.75pt;margin-top:8.5pt;width:93.75pt;height:11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DgLgIAAFcEAAAOAAAAZHJzL2Uyb0RvYy54bWysVFtv2jAUfp+0/2D5fSRQLi0iVKwV06Sq&#10;rQRTn43jkEjxRbYhYb9+nx1CUdenaS/Osc/9+87J4r6VNTkK6yqtMjocpJQIxXVeqX1Gf23X324p&#10;cZ6pnNVaiYyehKP3y69fFo2Zi5EudZ0LSxBEuXljMlp6b+ZJ4ngpJHMDbYSCstBWMo+r3Se5ZQ2i&#10;yzoZpek0abTNjdVcOIfXx05JlzF+UQjuX4rCCU/qjKI2H08bz104k+WCzfeWmbLi5zLYP1QhWaWQ&#10;9BLqkXlGDrb6K5SsuNVOF37AtUx0UVRcxB7QzTD90M2mZEbEXgCOMxeY3P8Ly5+Pr5ZUeUZnlCgm&#10;QdFWtJ581y2ZBXQa4+Yw2hiY+RbPYLl/d3gMTbeFleGLdgj0wPl0wTYE48FpeJdORxNKOHTD8Xh2&#10;m0b0k3d3Y53/IbQkQcioBXkRU3Z8ch6lwLQ3CdmUXld1HQmsFWkyOr2ZpNHhooFHreAYmuiKDZJv&#10;d21s+aZvZKfzE/qzupsPZ/i6Qg1PzPlXZjEQaAlD7l9wFLVGLn2WKCm1/f3Ze7AHT9BS0mDAMqqw&#10;AZTUPxX4uwMEYR7jZTyZjXCx15rdtUYd5IPGBA+xTIZHMdj7uhcLq+UbNmEVckLFFEfmjPpefPDd&#10;0GOTuFitohEm0DD/pDaGh9AB04Dvtn1j1pxJ8ODvWfeDyOYfuOhsg6czq4MHI5GogHKH6Rl8TG/k&#10;77xpYT2u79Hq/X+w/AMAAP//AwBQSwMEFAAGAAgAAAAhALz3OL/fAAAACgEAAA8AAABkcnMvZG93&#10;bnJldi54bWxMj8FOwzAQRO9I/IO1SNxam0CgSuNUqBK9IA4URK9OvE2ixOsodtPA17M9wW1H8zQ7&#10;k29m14sJx9B60nC3VCCQKm9bqjV8frwsViBCNGRN7wk1fGOATXF9lZvM+jO947SPteAQCpnR0MQ4&#10;ZFKGqkFnwtIPSOwd/ehMZDnW0o7mzOGul4lSj9KZlvhDYwbcNlh1+5PT8Ga+dnGau2rXDUd7cEO5&#10;vf951fr2Zn5eg4g4xz8YLvW5OhTcqfQnskH0GharNGWUjSfedAFUwkepIXlIFcgil/8nFL8AAAD/&#10;/wMAUEsBAi0AFAAGAAgAAAAhALaDOJL+AAAA4QEAABMAAAAAAAAAAAAAAAAAAAAAAFtDb250ZW50&#10;X1R5cGVzXS54bWxQSwECLQAUAAYACAAAACEAOP0h/9YAAACUAQAACwAAAAAAAAAAAAAAAAAvAQAA&#10;X3JlbHMvLnJlbHNQSwECLQAUAAYACAAAACEAmghQ4C4CAABXBAAADgAAAAAAAAAAAAAAAAAuAgAA&#10;ZHJzL2Uyb0RvYy54bWxQSwECLQAUAAYACAAAACEAvPc4v98AAAAKAQAADwAAAAAAAAAAAAAAAACI&#10;BAAAZHJzL2Rvd25yZXYueG1sUEsFBgAAAAAEAAQA8wAAAJQFAAAAAA==&#10;" filled="f" stroked="f" strokeweight=".5pt">
                <v:textbox style="mso-fit-shape-to-text:t">
                  <w:txbxContent>
                    <w:p w14:paraId="0DEF66AF" w14:textId="075A1703" w:rsidR="00B02F8B" w:rsidRDefault="00F354E6">
                      <w:r>
                        <w:rPr>
                          <w:noProof/>
                        </w:rPr>
                        <w:drawing>
                          <wp:inline distT="0" distB="0" distL="0" distR="0" wp14:anchorId="26317488" wp14:editId="52503FD9">
                            <wp:extent cx="1000125" cy="1447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447800"/>
                                    </a:xfrm>
                                    <a:prstGeom prst="rect">
                                      <a:avLst/>
                                    </a:prstGeom>
                                    <a:noFill/>
                                    <a:ln>
                                      <a:noFill/>
                                    </a:ln>
                                  </pic:spPr>
                                </pic:pic>
                              </a:graphicData>
                            </a:graphic>
                          </wp:inline>
                        </w:drawing>
                      </w:r>
                    </w:p>
                  </w:txbxContent>
                </v:textbox>
              </v:shape>
            </w:pict>
          </mc:Fallback>
        </mc:AlternateContent>
      </w:r>
      <w:r w:rsidR="00101A2A">
        <w:rPr>
          <w:rFonts w:ascii="Arial" w:hAnsi="Arial" w:cs="Arial"/>
          <w:szCs w:val="20"/>
        </w:rPr>
        <w:t>Over the last year, as well as continuing to support our residents and borough through the pandemic, we have also continued to improve our services and support our communities</w:t>
      </w:r>
      <w:r w:rsidR="00285D43" w:rsidRPr="002102FA">
        <w:rPr>
          <w:rFonts w:ascii="Arial" w:hAnsi="Arial" w:cs="Arial"/>
          <w:szCs w:val="20"/>
        </w:rPr>
        <w:t>. This proposed budget will allow us to</w:t>
      </w:r>
      <w:r w:rsidR="002102FA" w:rsidRPr="002102FA">
        <w:rPr>
          <w:rFonts w:ascii="Arial" w:hAnsi="Arial" w:cs="Arial"/>
          <w:szCs w:val="20"/>
        </w:rPr>
        <w:t xml:space="preserve"> continue using our resources and budgets to </w:t>
      </w:r>
      <w:r w:rsidR="00285D43" w:rsidRPr="002102FA">
        <w:rPr>
          <w:rFonts w:ascii="Arial" w:hAnsi="Arial" w:cs="Arial"/>
          <w:szCs w:val="20"/>
        </w:rPr>
        <w:t xml:space="preserve">sustain vital services and ensure a strong recovery from the pandemic by investing in neighbourhoods, </w:t>
      </w:r>
      <w:proofErr w:type="gramStart"/>
      <w:r w:rsidR="00285D43" w:rsidRPr="002102FA">
        <w:rPr>
          <w:rFonts w:ascii="Arial" w:hAnsi="Arial" w:cs="Arial"/>
          <w:szCs w:val="20"/>
        </w:rPr>
        <w:t>communities</w:t>
      </w:r>
      <w:proofErr w:type="gramEnd"/>
      <w:r w:rsidR="00285D43" w:rsidRPr="002102FA">
        <w:rPr>
          <w:rFonts w:ascii="Arial" w:hAnsi="Arial" w:cs="Arial"/>
          <w:szCs w:val="20"/>
        </w:rPr>
        <w:t xml:space="preserve"> and businesses</w:t>
      </w:r>
      <w:r w:rsidR="002102FA">
        <w:rPr>
          <w:rFonts w:ascii="Arial" w:hAnsi="Arial" w:cs="Arial"/>
          <w:szCs w:val="20"/>
        </w:rPr>
        <w:t>.</w:t>
      </w:r>
    </w:p>
    <w:p w14:paraId="35A29A40" w14:textId="4241B448" w:rsidR="006F5DB6" w:rsidRPr="002102FA" w:rsidRDefault="006F5DB6" w:rsidP="002D61C4">
      <w:pPr>
        <w:ind w:left="1440"/>
        <w:jc w:val="both"/>
        <w:rPr>
          <w:rFonts w:ascii="Arial" w:hAnsi="Arial" w:cs="Arial"/>
          <w:szCs w:val="20"/>
        </w:rPr>
      </w:pPr>
      <w:r w:rsidRPr="002102FA">
        <w:rPr>
          <w:rFonts w:ascii="Arial" w:hAnsi="Arial" w:cs="Arial"/>
          <w:szCs w:val="20"/>
        </w:rPr>
        <w:t>To support South Ribble residents and despite the expectation from Government to do so, we will not increase council tax in 202</w:t>
      </w:r>
      <w:r w:rsidR="002102FA">
        <w:rPr>
          <w:rFonts w:ascii="Arial" w:hAnsi="Arial" w:cs="Arial"/>
          <w:szCs w:val="20"/>
        </w:rPr>
        <w:t>2</w:t>
      </w:r>
      <w:r w:rsidRPr="002102FA">
        <w:rPr>
          <w:rFonts w:ascii="Arial" w:hAnsi="Arial" w:cs="Arial"/>
          <w:szCs w:val="20"/>
        </w:rPr>
        <w:t>/2</w:t>
      </w:r>
      <w:r w:rsidR="002102FA">
        <w:rPr>
          <w:rFonts w:ascii="Arial" w:hAnsi="Arial" w:cs="Arial"/>
          <w:szCs w:val="20"/>
        </w:rPr>
        <w:t>3</w:t>
      </w:r>
      <w:r w:rsidR="00101A2A">
        <w:rPr>
          <w:rFonts w:ascii="Arial" w:hAnsi="Arial" w:cs="Arial"/>
          <w:szCs w:val="20"/>
        </w:rPr>
        <w:t xml:space="preserve"> while still setting a balanced budget</w:t>
      </w:r>
      <w:r w:rsidRPr="002102FA">
        <w:rPr>
          <w:rFonts w:ascii="Arial" w:hAnsi="Arial" w:cs="Arial"/>
          <w:szCs w:val="20"/>
        </w:rPr>
        <w:t xml:space="preserve">.  </w:t>
      </w:r>
    </w:p>
    <w:p w14:paraId="3A046410" w14:textId="5E4C7DD3" w:rsidR="006F5DB6" w:rsidRPr="00101A2A" w:rsidRDefault="002102FA" w:rsidP="002D61C4">
      <w:pPr>
        <w:ind w:left="1440"/>
        <w:jc w:val="both"/>
        <w:rPr>
          <w:rFonts w:ascii="Arial" w:hAnsi="Arial" w:cs="Arial"/>
          <w:szCs w:val="20"/>
        </w:rPr>
      </w:pPr>
      <w:r w:rsidRPr="002102FA">
        <w:rPr>
          <w:rFonts w:ascii="Arial" w:hAnsi="Arial" w:cs="Arial"/>
          <w:szCs w:val="20"/>
        </w:rPr>
        <w:t>With changes in local government funding l</w:t>
      </w:r>
      <w:r w:rsidR="006F5DB6" w:rsidRPr="002102FA">
        <w:rPr>
          <w:rFonts w:ascii="Arial" w:hAnsi="Arial" w:cs="Arial"/>
          <w:szCs w:val="20"/>
        </w:rPr>
        <w:t xml:space="preserve">ooking </w:t>
      </w:r>
      <w:r w:rsidRPr="002102FA">
        <w:rPr>
          <w:rFonts w:ascii="Arial" w:hAnsi="Arial" w:cs="Arial"/>
          <w:szCs w:val="20"/>
        </w:rPr>
        <w:t xml:space="preserve">imminent, </w:t>
      </w:r>
      <w:r w:rsidR="006F5DB6" w:rsidRPr="002102FA">
        <w:rPr>
          <w:rFonts w:ascii="Arial" w:hAnsi="Arial" w:cs="Arial"/>
          <w:szCs w:val="20"/>
        </w:rPr>
        <w:t xml:space="preserve">particularly </w:t>
      </w:r>
      <w:r w:rsidRPr="002102FA">
        <w:rPr>
          <w:rFonts w:ascii="Arial" w:hAnsi="Arial" w:cs="Arial"/>
          <w:szCs w:val="20"/>
        </w:rPr>
        <w:t>in respect of the future level of b</w:t>
      </w:r>
      <w:r w:rsidR="006F5DB6" w:rsidRPr="002102FA">
        <w:rPr>
          <w:rFonts w:ascii="Arial" w:hAnsi="Arial" w:cs="Arial"/>
          <w:szCs w:val="20"/>
        </w:rPr>
        <w:t xml:space="preserve">usiness rates income </w:t>
      </w:r>
      <w:r w:rsidRPr="002102FA">
        <w:rPr>
          <w:rFonts w:ascii="Arial" w:hAnsi="Arial" w:cs="Arial"/>
          <w:szCs w:val="20"/>
        </w:rPr>
        <w:t xml:space="preserve">to be </w:t>
      </w:r>
      <w:r w:rsidR="006F5DB6" w:rsidRPr="002102FA">
        <w:rPr>
          <w:rFonts w:ascii="Arial" w:hAnsi="Arial" w:cs="Arial"/>
          <w:szCs w:val="20"/>
        </w:rPr>
        <w:t xml:space="preserve">retained by the </w:t>
      </w:r>
      <w:r w:rsidR="00327BF2" w:rsidRPr="002102FA">
        <w:rPr>
          <w:rFonts w:ascii="Arial" w:hAnsi="Arial" w:cs="Arial"/>
          <w:szCs w:val="20"/>
        </w:rPr>
        <w:t>c</w:t>
      </w:r>
      <w:r w:rsidR="006F5DB6" w:rsidRPr="002102FA">
        <w:rPr>
          <w:rFonts w:ascii="Arial" w:hAnsi="Arial" w:cs="Arial"/>
          <w:szCs w:val="20"/>
        </w:rPr>
        <w:t xml:space="preserve">ouncil, we have plans in place to meet the financial challenges we face. We will continue to </w:t>
      </w:r>
      <w:r w:rsidR="006F5DB6" w:rsidRPr="00101A2A">
        <w:rPr>
          <w:rFonts w:ascii="Arial" w:hAnsi="Arial" w:cs="Arial"/>
          <w:szCs w:val="20"/>
        </w:rPr>
        <w:t xml:space="preserve">transform services to deliver efficiencies as well as investing in capital expenditure projects throughout the borough. </w:t>
      </w:r>
    </w:p>
    <w:p w14:paraId="557F9958" w14:textId="620E545F" w:rsidR="006F5DB6" w:rsidRDefault="00101A2A" w:rsidP="002D61C4">
      <w:pPr>
        <w:ind w:left="1440"/>
        <w:jc w:val="both"/>
        <w:rPr>
          <w:rFonts w:ascii="Arial" w:hAnsi="Arial" w:cs="Arial"/>
          <w:szCs w:val="20"/>
        </w:rPr>
      </w:pPr>
      <w:r w:rsidRPr="00101A2A">
        <w:rPr>
          <w:rFonts w:ascii="Arial" w:hAnsi="Arial" w:cs="Arial"/>
          <w:szCs w:val="20"/>
        </w:rPr>
        <w:t>This year, our work to build more affordable housing and an extra care facility will continue. We will undertake more work to tackle climate change, provide support to community groups and improve our local environment.</w:t>
      </w:r>
    </w:p>
    <w:p w14:paraId="39A0FC07" w14:textId="77777777" w:rsidR="00101A2A" w:rsidRPr="00101A2A" w:rsidRDefault="00101A2A" w:rsidP="00101A2A">
      <w:pPr>
        <w:ind w:left="1440"/>
        <w:jc w:val="both"/>
        <w:rPr>
          <w:rFonts w:ascii="Arial" w:hAnsi="Arial" w:cs="Arial"/>
          <w:szCs w:val="20"/>
        </w:rPr>
      </w:pPr>
      <w:r w:rsidRPr="00101A2A">
        <w:rPr>
          <w:rFonts w:ascii="Arial" w:hAnsi="Arial" w:cs="Arial"/>
          <w:szCs w:val="20"/>
        </w:rPr>
        <w:t xml:space="preserve">A newly refurbished Worden Hall will </w:t>
      </w:r>
      <w:proofErr w:type="gramStart"/>
      <w:r w:rsidRPr="00101A2A">
        <w:rPr>
          <w:rFonts w:ascii="Arial" w:hAnsi="Arial" w:cs="Arial"/>
          <w:szCs w:val="20"/>
        </w:rPr>
        <w:t>open</w:t>
      </w:r>
      <w:proofErr w:type="gramEnd"/>
      <w:r w:rsidRPr="00101A2A">
        <w:rPr>
          <w:rFonts w:ascii="Arial" w:hAnsi="Arial" w:cs="Arial"/>
          <w:szCs w:val="20"/>
        </w:rPr>
        <w:t xml:space="preserve"> and we will host new events for residents and visitors to enjoy. We will review and refresh the support we give to our businesses as they recover from the pandemic and drive inclusive economic growth.</w:t>
      </w:r>
    </w:p>
    <w:p w14:paraId="7167E61D" w14:textId="4E3CDA56" w:rsidR="004D3AF0" w:rsidRPr="005E531A" w:rsidRDefault="002102FA" w:rsidP="002D61C4">
      <w:pPr>
        <w:ind w:left="1440"/>
        <w:jc w:val="both"/>
        <w:rPr>
          <w:rFonts w:asciiTheme="majorHAnsi" w:hAnsiTheme="majorHAnsi" w:cstheme="majorHAnsi"/>
        </w:rPr>
      </w:pPr>
      <w:r w:rsidRPr="002102FA">
        <w:rPr>
          <w:rFonts w:ascii="Arial" w:hAnsi="Arial" w:cs="Arial"/>
          <w:szCs w:val="20"/>
        </w:rPr>
        <w:t>Although t</w:t>
      </w:r>
      <w:r w:rsidR="006F5DB6" w:rsidRPr="002102FA">
        <w:rPr>
          <w:rFonts w:ascii="Arial" w:hAnsi="Arial" w:cs="Arial"/>
          <w:szCs w:val="20"/>
        </w:rPr>
        <w:t xml:space="preserve">he </w:t>
      </w:r>
      <w:r w:rsidRPr="002102FA">
        <w:rPr>
          <w:rFonts w:ascii="Arial" w:hAnsi="Arial" w:cs="Arial"/>
          <w:szCs w:val="20"/>
        </w:rPr>
        <w:t xml:space="preserve">financial </w:t>
      </w:r>
      <w:r w:rsidR="006F5DB6" w:rsidRPr="002102FA">
        <w:rPr>
          <w:rFonts w:ascii="Arial" w:hAnsi="Arial" w:cs="Arial"/>
          <w:szCs w:val="20"/>
        </w:rPr>
        <w:t xml:space="preserve">uncertainty </w:t>
      </w:r>
      <w:r w:rsidRPr="002102FA">
        <w:rPr>
          <w:rFonts w:ascii="Arial" w:hAnsi="Arial" w:cs="Arial"/>
          <w:szCs w:val="20"/>
        </w:rPr>
        <w:t xml:space="preserve">prevails, </w:t>
      </w:r>
      <w:r w:rsidR="006F5DB6" w:rsidRPr="002102FA">
        <w:rPr>
          <w:rFonts w:ascii="Arial" w:hAnsi="Arial" w:cs="Arial"/>
          <w:szCs w:val="20"/>
        </w:rPr>
        <w:t xml:space="preserve">the council will continue to deliver its priorities as set out in this </w:t>
      </w:r>
      <w:proofErr w:type="gramStart"/>
      <w:r w:rsidR="006F5DB6" w:rsidRPr="002102FA">
        <w:rPr>
          <w:rFonts w:ascii="Arial" w:hAnsi="Arial" w:cs="Arial"/>
          <w:szCs w:val="20"/>
        </w:rPr>
        <w:t>Medium Term</w:t>
      </w:r>
      <w:proofErr w:type="gramEnd"/>
      <w:r w:rsidR="006F5DB6" w:rsidRPr="002102FA">
        <w:rPr>
          <w:rFonts w:ascii="Arial" w:hAnsi="Arial" w:cs="Arial"/>
          <w:szCs w:val="20"/>
        </w:rPr>
        <w:t xml:space="preserve"> Financial Strategy to make South Ribble a healthy and happy community, flourishing together in a safer and fairer borough.</w:t>
      </w:r>
      <w:r w:rsidR="004D3AF0" w:rsidRPr="005E531A">
        <w:rPr>
          <w:rFonts w:asciiTheme="majorHAnsi" w:hAnsiTheme="majorHAnsi" w:cstheme="majorHAnsi"/>
        </w:rPr>
        <w:br w:type="page"/>
      </w:r>
    </w:p>
    <w:p w14:paraId="18714375" w14:textId="77777777" w:rsidR="004F01CA" w:rsidRPr="005E531A" w:rsidRDefault="004F01CA" w:rsidP="004F01CA">
      <w:pPr>
        <w:pStyle w:val="Heading1"/>
        <w:rPr>
          <w:rFonts w:ascii="Arial" w:hAnsi="Arial" w:cs="Arial"/>
          <w:color w:val="FF0000"/>
          <w:sz w:val="24"/>
        </w:rPr>
      </w:pPr>
      <w:r w:rsidRPr="005E531A">
        <w:rPr>
          <w:rFonts w:asciiTheme="majorHAnsi" w:eastAsiaTheme="minorHAnsi" w:hAnsiTheme="majorHAnsi" w:cstheme="majorHAnsi"/>
          <w:color w:val="147FA8"/>
          <w:kern w:val="0"/>
          <w:sz w:val="28"/>
          <w:szCs w:val="28"/>
          <w:lang w:eastAsia="en-US"/>
        </w:rPr>
        <w:lastRenderedPageBreak/>
        <w:t>INTRODUCTION</w:t>
      </w:r>
    </w:p>
    <w:p w14:paraId="4C3590F5" w14:textId="77777777" w:rsidR="004F01CA" w:rsidRPr="005E531A" w:rsidRDefault="004F01CA" w:rsidP="00413911">
      <w:pPr>
        <w:spacing w:after="0" w:line="240" w:lineRule="auto"/>
        <w:rPr>
          <w:sz w:val="14"/>
        </w:rPr>
      </w:pPr>
    </w:p>
    <w:p w14:paraId="2D6351C4" w14:textId="40064F7D" w:rsidR="00A34438" w:rsidRPr="00A34438" w:rsidRDefault="00A34438" w:rsidP="00413911">
      <w:pPr>
        <w:pStyle w:val="ListParagraph"/>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szCs w:val="24"/>
        </w:rPr>
      </w:pPr>
      <w:r>
        <w:rPr>
          <w:rFonts w:ascii="Arial" w:hAnsi="Arial" w:cs="Arial"/>
          <w:szCs w:val="24"/>
        </w:rPr>
        <w:t>The</w:t>
      </w:r>
      <w:r w:rsidRPr="00A34438">
        <w:rPr>
          <w:rFonts w:ascii="Arial" w:hAnsi="Arial" w:cs="Arial"/>
          <w:szCs w:val="24"/>
        </w:rPr>
        <w:t xml:space="preserve"> approval of the Annual Budget is an important stage in the council’s annual planning and budgetary process, as the revenue estimates form the basis for setting the Council Tax for the following year. This section aims to put finance into its corporate context. Not all matters can be covered in detail, but it is intended to give a flavour of how finance influences the way that </w:t>
      </w:r>
      <w:r>
        <w:rPr>
          <w:rFonts w:ascii="Arial" w:hAnsi="Arial" w:cs="Arial"/>
          <w:szCs w:val="24"/>
        </w:rPr>
        <w:t>South Ribble</w:t>
      </w:r>
      <w:r w:rsidRPr="00A34438">
        <w:rPr>
          <w:rFonts w:ascii="Arial" w:hAnsi="Arial" w:cs="Arial"/>
          <w:szCs w:val="24"/>
        </w:rPr>
        <w:t xml:space="preserve"> Borough Council operates and is governed.</w:t>
      </w:r>
    </w:p>
    <w:p w14:paraId="284017E7" w14:textId="77777777" w:rsidR="004F01CA" w:rsidRPr="005E531A" w:rsidRDefault="004F01CA" w:rsidP="00413911">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Arial" w:hAnsi="Arial" w:cs="Arial"/>
          <w:szCs w:val="24"/>
        </w:rPr>
      </w:pPr>
    </w:p>
    <w:p w14:paraId="3DE1BD07" w14:textId="77777777" w:rsidR="004F01CA" w:rsidRPr="005E531A" w:rsidRDefault="004F01CA" w:rsidP="00413911">
      <w:pPr>
        <w:pStyle w:val="Heading1"/>
        <w:rPr>
          <w:rFonts w:asciiTheme="majorHAnsi" w:eastAsiaTheme="minorHAnsi" w:hAnsiTheme="majorHAnsi" w:cstheme="majorHAnsi"/>
          <w:color w:val="147FA8"/>
          <w:kern w:val="0"/>
          <w:sz w:val="28"/>
          <w:szCs w:val="28"/>
          <w:lang w:eastAsia="en-US"/>
        </w:rPr>
      </w:pPr>
      <w:r w:rsidRPr="005E531A">
        <w:rPr>
          <w:rFonts w:asciiTheme="majorHAnsi" w:eastAsiaTheme="minorHAnsi" w:hAnsiTheme="majorHAnsi" w:cstheme="majorHAnsi"/>
          <w:color w:val="147FA8"/>
          <w:kern w:val="0"/>
          <w:sz w:val="28"/>
          <w:szCs w:val="28"/>
          <w:lang w:eastAsia="en-US"/>
        </w:rPr>
        <w:t>FINANCE AND CORPORATE PLANNING</w:t>
      </w:r>
    </w:p>
    <w:p w14:paraId="181D93A8" w14:textId="77777777" w:rsidR="004F01CA" w:rsidRPr="005E531A" w:rsidRDefault="004F01CA" w:rsidP="00413911">
      <w:pPr>
        <w:spacing w:after="0" w:line="240" w:lineRule="auto"/>
        <w:rPr>
          <w:sz w:val="20"/>
        </w:rPr>
      </w:pPr>
    </w:p>
    <w:p w14:paraId="2AE85854" w14:textId="41592702" w:rsidR="00A34438" w:rsidRDefault="004F01CA" w:rsidP="00413911">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5E531A">
        <w:rPr>
          <w:rFonts w:ascii="Arial" w:hAnsi="Arial" w:cs="Arial"/>
        </w:rPr>
        <w:t xml:space="preserve">Within </w:t>
      </w:r>
      <w:r w:rsidR="00413911" w:rsidRPr="006F6A7B">
        <w:rPr>
          <w:rFonts w:ascii="Arial" w:hAnsi="Arial" w:cs="Arial"/>
        </w:rPr>
        <w:t>the framework of legislation and Government controls, local authorities retain responsibility for determining the level of their budgets and how those budgets will be spent, subject to legislation and grant conditions</w:t>
      </w:r>
      <w:r w:rsidR="00413911">
        <w:rPr>
          <w:rFonts w:ascii="Arial" w:hAnsi="Arial" w:cs="Arial"/>
        </w:rPr>
        <w:t>.</w:t>
      </w:r>
    </w:p>
    <w:p w14:paraId="09B10E97" w14:textId="77777777" w:rsidR="004F01CA" w:rsidRPr="005E531A" w:rsidRDefault="004F01CA" w:rsidP="00413911">
      <w:pPr>
        <w:spacing w:after="0" w:line="240" w:lineRule="auto"/>
        <w:jc w:val="both"/>
        <w:rPr>
          <w:rFonts w:ascii="Arial" w:hAnsi="Arial" w:cs="Arial"/>
        </w:rPr>
      </w:pPr>
    </w:p>
    <w:p w14:paraId="68897412" w14:textId="77777777" w:rsidR="004F01CA" w:rsidRPr="005E531A" w:rsidRDefault="004F01CA" w:rsidP="00413911">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5E531A">
        <w:rPr>
          <w:rFonts w:ascii="Arial" w:hAnsi="Arial" w:cs="Arial"/>
        </w:rPr>
        <w:t>The purpose of the council’s budget is;</w:t>
      </w:r>
    </w:p>
    <w:p w14:paraId="7C36BFBC" w14:textId="2D05B94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To enable the council to fulfil its statutory duty to set Council Tax each financial year</w:t>
      </w:r>
    </w:p>
    <w:p w14:paraId="5B669066" w14:textId="3C13D16C"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To ensure that use of the council’s financial resources is planned and that a balanced budget is set in 202</w:t>
      </w:r>
      <w:r w:rsidR="00A34438">
        <w:rPr>
          <w:rFonts w:asciiTheme="majorHAnsi" w:hAnsiTheme="majorHAnsi" w:cstheme="majorHAnsi"/>
          <w:color w:val="000000" w:themeColor="text1"/>
        </w:rPr>
        <w:t>2</w:t>
      </w:r>
      <w:r w:rsidRPr="005E531A">
        <w:rPr>
          <w:rFonts w:asciiTheme="majorHAnsi" w:hAnsiTheme="majorHAnsi" w:cstheme="majorHAnsi"/>
          <w:color w:val="000000" w:themeColor="text1"/>
        </w:rPr>
        <w:t>/2</w:t>
      </w:r>
      <w:r w:rsidR="00A34438">
        <w:rPr>
          <w:rFonts w:asciiTheme="majorHAnsi" w:hAnsiTheme="majorHAnsi" w:cstheme="majorHAnsi"/>
          <w:color w:val="000000" w:themeColor="text1"/>
        </w:rPr>
        <w:t>3</w:t>
      </w:r>
      <w:r w:rsidRPr="005E531A">
        <w:rPr>
          <w:rFonts w:asciiTheme="majorHAnsi" w:hAnsiTheme="majorHAnsi" w:cstheme="majorHAnsi"/>
          <w:color w:val="000000" w:themeColor="text1"/>
        </w:rPr>
        <w:t>.</w:t>
      </w:r>
    </w:p>
    <w:p w14:paraId="08BE71B3"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To set financial targets for service managers against which their use of financial resources can be measured and controlled.</w:t>
      </w:r>
    </w:p>
    <w:p w14:paraId="0D1C8EF0"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To facilitate the delivery of the council’s corporate strategy and subsequent priorities by allocating resources between services according to agreed strategies and plans.</w:t>
      </w:r>
    </w:p>
    <w:p w14:paraId="679151E2" w14:textId="77777777" w:rsidR="00A34438" w:rsidRDefault="00A34438" w:rsidP="00413911">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Arial" w:hAnsi="Arial" w:cs="Arial"/>
        </w:rPr>
      </w:pPr>
    </w:p>
    <w:p w14:paraId="00A3BFD4" w14:textId="77EBDF83" w:rsidR="00A34438" w:rsidRDefault="00A34438" w:rsidP="00413911">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Pr>
          <w:rFonts w:ascii="Arial" w:hAnsi="Arial" w:cs="Arial"/>
        </w:rPr>
        <w:t xml:space="preserve">The </w:t>
      </w:r>
      <w:r w:rsidRPr="006F6A7B">
        <w:rPr>
          <w:rFonts w:ascii="Arial" w:hAnsi="Arial" w:cs="Arial"/>
        </w:rPr>
        <w:t>first is a statutory requirement and the council, if it does nothing else, must fulfil this obligation. All these points are important</w:t>
      </w:r>
      <w:r>
        <w:rPr>
          <w:rFonts w:ascii="Arial" w:hAnsi="Arial" w:cs="Arial"/>
        </w:rPr>
        <w:t>,</w:t>
      </w:r>
      <w:r w:rsidRPr="006F6A7B">
        <w:rPr>
          <w:rFonts w:ascii="Arial" w:hAnsi="Arial" w:cs="Arial"/>
        </w:rPr>
        <w:t xml:space="preserve"> especially the last regarding the delivery of the council’s </w:t>
      </w:r>
      <w:r>
        <w:rPr>
          <w:rFonts w:ascii="Arial" w:hAnsi="Arial" w:cs="Arial"/>
        </w:rPr>
        <w:t>C</w:t>
      </w:r>
      <w:r w:rsidRPr="006F6A7B">
        <w:rPr>
          <w:rFonts w:ascii="Arial" w:hAnsi="Arial" w:cs="Arial"/>
        </w:rPr>
        <w:t xml:space="preserve">orporate </w:t>
      </w:r>
      <w:r>
        <w:rPr>
          <w:rFonts w:ascii="Arial" w:hAnsi="Arial" w:cs="Arial"/>
        </w:rPr>
        <w:t>S</w:t>
      </w:r>
      <w:r w:rsidRPr="006F6A7B">
        <w:rPr>
          <w:rFonts w:ascii="Arial" w:hAnsi="Arial" w:cs="Arial"/>
        </w:rPr>
        <w:t xml:space="preserve">trategy. It means that finance always needs to be seen in the context of other council plans, whether at service level or, ultimately, at corporate level. </w:t>
      </w:r>
      <w:r>
        <w:rPr>
          <w:rFonts w:ascii="Arial" w:hAnsi="Arial" w:cs="Arial"/>
        </w:rPr>
        <w:t xml:space="preserve">South Ribble </w:t>
      </w:r>
      <w:r w:rsidR="000338B0">
        <w:rPr>
          <w:rFonts w:ascii="Arial" w:hAnsi="Arial" w:cs="Arial"/>
        </w:rPr>
        <w:t xml:space="preserve">Borough </w:t>
      </w:r>
      <w:r w:rsidRPr="006F6A7B">
        <w:rPr>
          <w:rFonts w:ascii="Arial" w:hAnsi="Arial" w:cs="Arial"/>
        </w:rPr>
        <w:t>Council will ensure that its financial resources, subject to all other constraints, are allocated in accordance with council priorities.</w:t>
      </w:r>
    </w:p>
    <w:p w14:paraId="411CC8C0" w14:textId="77777777" w:rsidR="004F01CA" w:rsidRPr="005E531A" w:rsidRDefault="004F01CA" w:rsidP="00413911">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left="567"/>
        <w:jc w:val="both"/>
        <w:rPr>
          <w:rFonts w:ascii="Arial" w:hAnsi="Arial" w:cs="Arial"/>
        </w:rPr>
      </w:pPr>
    </w:p>
    <w:p w14:paraId="084E5082" w14:textId="77777777" w:rsidR="004F01CA" w:rsidRPr="005E531A" w:rsidRDefault="004F01CA" w:rsidP="00413911">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5E531A">
        <w:rPr>
          <w:rFonts w:ascii="Arial" w:hAnsi="Arial" w:cs="Arial"/>
        </w:rPr>
        <w:t xml:space="preserve">In practice there are </w:t>
      </w:r>
      <w:proofErr w:type="gramStart"/>
      <w:r w:rsidRPr="005E531A">
        <w:rPr>
          <w:rFonts w:ascii="Arial" w:hAnsi="Arial" w:cs="Arial"/>
        </w:rPr>
        <w:t>a number of</w:t>
      </w:r>
      <w:proofErr w:type="gramEnd"/>
      <w:r w:rsidRPr="005E531A">
        <w:rPr>
          <w:rFonts w:ascii="Arial" w:hAnsi="Arial" w:cs="Arial"/>
        </w:rPr>
        <w:t xml:space="preserve"> constraints that might prevent the council from spending purely in accordance with its current priorities, for example: -</w:t>
      </w:r>
    </w:p>
    <w:p w14:paraId="3F734E23" w14:textId="77777777" w:rsidR="004F01CA" w:rsidRPr="005E531A" w:rsidRDefault="004F01CA" w:rsidP="00413911">
      <w:pPr>
        <w:spacing w:after="0" w:line="240" w:lineRule="auto"/>
        <w:jc w:val="both"/>
        <w:rPr>
          <w:rFonts w:ascii="Arial" w:hAnsi="Arial" w:cs="Arial"/>
        </w:rPr>
      </w:pPr>
    </w:p>
    <w:p w14:paraId="4589766C"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Arial" w:hAnsi="Arial" w:cs="Arial"/>
        </w:rPr>
        <w:t>G</w:t>
      </w:r>
      <w:r w:rsidRPr="005E531A">
        <w:rPr>
          <w:rFonts w:asciiTheme="majorHAnsi" w:hAnsiTheme="majorHAnsi" w:cstheme="majorHAnsi"/>
          <w:color w:val="000000" w:themeColor="text1"/>
        </w:rPr>
        <w:t>overnment constraints over use of resources</w:t>
      </w:r>
    </w:p>
    <w:p w14:paraId="4590E1AE"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Legal requirements to provide certain services</w:t>
      </w:r>
    </w:p>
    <w:p w14:paraId="622E9EE2"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Financial and legal commitments, and other agreements, e.g. staff contracts</w:t>
      </w:r>
    </w:p>
    <w:p w14:paraId="319239AA"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Costs incurred in implementing change</w:t>
      </w:r>
    </w:p>
    <w:p w14:paraId="0F3D07A5"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Limited availability of resources</w:t>
      </w:r>
    </w:p>
    <w:p w14:paraId="335B0455"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Time needed to plan for change</w:t>
      </w:r>
    </w:p>
    <w:p w14:paraId="45C1FDFB" w14:textId="77777777" w:rsidR="004F01CA" w:rsidRPr="005E531A" w:rsidRDefault="004F01CA" w:rsidP="00413911">
      <w:pPr>
        <w:pStyle w:val="ListParagraph"/>
        <w:numPr>
          <w:ilvl w:val="0"/>
          <w:numId w:val="2"/>
        </w:numPr>
        <w:spacing w:line="240" w:lineRule="auto"/>
        <w:jc w:val="both"/>
        <w:rPr>
          <w:rFonts w:asciiTheme="majorHAnsi" w:hAnsiTheme="majorHAnsi" w:cstheme="majorHAnsi"/>
          <w:color w:val="000000" w:themeColor="text1"/>
        </w:rPr>
      </w:pPr>
      <w:r w:rsidRPr="005E531A">
        <w:rPr>
          <w:rFonts w:asciiTheme="majorHAnsi" w:hAnsiTheme="majorHAnsi" w:cstheme="majorHAnsi"/>
          <w:color w:val="000000" w:themeColor="text1"/>
        </w:rPr>
        <w:t>Pressure to maintain and improve services and not to cut back</w:t>
      </w:r>
    </w:p>
    <w:p w14:paraId="3E395C80" w14:textId="77777777" w:rsidR="004F01CA" w:rsidRPr="005E531A" w:rsidRDefault="004F01CA" w:rsidP="00413911">
      <w:pPr>
        <w:spacing w:after="0" w:line="240" w:lineRule="auto"/>
        <w:jc w:val="both"/>
        <w:rPr>
          <w:rFonts w:ascii="Arial" w:hAnsi="Arial" w:cs="Arial"/>
        </w:rPr>
      </w:pPr>
    </w:p>
    <w:p w14:paraId="399E7DEE" w14:textId="77777777" w:rsidR="004F01CA" w:rsidRPr="005E531A" w:rsidRDefault="004F01CA" w:rsidP="00413911">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5E531A">
        <w:rPr>
          <w:rFonts w:ascii="Arial" w:hAnsi="Arial" w:cs="Arial"/>
        </w:rPr>
        <w:t>It is important for the council to recognise these constraints and to plan the use of resources over the short and medium term.</w:t>
      </w:r>
    </w:p>
    <w:p w14:paraId="1051EEBA" w14:textId="77777777" w:rsidR="004F01CA" w:rsidRPr="005E531A" w:rsidRDefault="004F01CA" w:rsidP="004F01CA">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Arial" w:hAnsi="Arial" w:cs="Arial"/>
          <w:sz w:val="24"/>
        </w:rPr>
      </w:pPr>
    </w:p>
    <w:p w14:paraId="32401230" w14:textId="77777777" w:rsidR="004F01CA" w:rsidRPr="005E531A" w:rsidRDefault="004F01CA" w:rsidP="004F01CA">
      <w:pPr>
        <w:pStyle w:val="Heading1"/>
        <w:rPr>
          <w:rFonts w:asciiTheme="majorHAnsi" w:eastAsiaTheme="minorHAnsi" w:hAnsiTheme="majorHAnsi" w:cstheme="majorHAnsi"/>
          <w:color w:val="147FA8"/>
          <w:kern w:val="0"/>
          <w:sz w:val="28"/>
          <w:szCs w:val="28"/>
          <w:lang w:eastAsia="en-US"/>
        </w:rPr>
      </w:pPr>
      <w:r w:rsidRPr="005E531A">
        <w:rPr>
          <w:rFonts w:asciiTheme="majorHAnsi" w:eastAsiaTheme="minorHAnsi" w:hAnsiTheme="majorHAnsi" w:cstheme="majorHAnsi"/>
          <w:color w:val="147FA8"/>
          <w:kern w:val="0"/>
          <w:sz w:val="28"/>
          <w:szCs w:val="28"/>
          <w:lang w:eastAsia="en-US"/>
        </w:rPr>
        <w:lastRenderedPageBreak/>
        <w:t>THE FINANCIAL CONTEXT</w:t>
      </w:r>
    </w:p>
    <w:p w14:paraId="5F069340" w14:textId="77777777" w:rsidR="004F01CA" w:rsidRPr="005E531A" w:rsidRDefault="004F01CA" w:rsidP="004F01CA">
      <w:pPr>
        <w:spacing w:after="0"/>
        <w:rPr>
          <w:sz w:val="4"/>
          <w:szCs w:val="12"/>
        </w:rPr>
      </w:pPr>
    </w:p>
    <w:p w14:paraId="762DBFF1" w14:textId="3E636EE6" w:rsidR="009C33D8" w:rsidRDefault="009C33D8" w:rsidP="009C33D8">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717DC8">
        <w:rPr>
          <w:rFonts w:ascii="Arial" w:hAnsi="Arial" w:cs="Arial"/>
        </w:rPr>
        <w:t xml:space="preserve">The </w:t>
      </w:r>
      <w:r w:rsidR="00EC3903" w:rsidRPr="00717DC8">
        <w:rPr>
          <w:rFonts w:ascii="Arial" w:hAnsi="Arial" w:cs="Arial"/>
        </w:rPr>
        <w:t xml:space="preserve">purpose of the </w:t>
      </w:r>
      <w:proofErr w:type="gramStart"/>
      <w:r w:rsidR="00EC3903" w:rsidRPr="00717DC8">
        <w:rPr>
          <w:rFonts w:ascii="Arial" w:hAnsi="Arial" w:cs="Arial"/>
        </w:rPr>
        <w:t>Medium Term</w:t>
      </w:r>
      <w:proofErr w:type="gramEnd"/>
      <w:r w:rsidR="00EC3903" w:rsidRPr="00717DC8">
        <w:rPr>
          <w:rFonts w:ascii="Arial" w:hAnsi="Arial" w:cs="Arial"/>
        </w:rPr>
        <w:t xml:space="preserve"> Financial Strategy (MTFS) is to set the financial framework for the </w:t>
      </w:r>
      <w:r w:rsidR="00EC3903">
        <w:rPr>
          <w:rFonts w:ascii="Arial" w:hAnsi="Arial" w:cs="Arial"/>
        </w:rPr>
        <w:t>c</w:t>
      </w:r>
      <w:r w:rsidR="00EC3903" w:rsidRPr="00717DC8">
        <w:rPr>
          <w:rFonts w:ascii="Arial" w:hAnsi="Arial" w:cs="Arial"/>
        </w:rPr>
        <w:t>ouncil for the medium term to ensure delivery of strategic objectives and major projects. This requires a review and assessment of revenue budgets, the capital programme, levels of reserves and potential future Council Tax levels, based on funding projections and other financial and economic assumptions</w:t>
      </w:r>
      <w:r>
        <w:rPr>
          <w:rFonts w:ascii="Arial" w:hAnsi="Arial" w:cs="Arial"/>
        </w:rPr>
        <w:t>.</w:t>
      </w:r>
    </w:p>
    <w:p w14:paraId="7CA15F2B" w14:textId="77777777" w:rsidR="009C33D8" w:rsidRDefault="009C33D8" w:rsidP="009C33D8">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Arial" w:hAnsi="Arial" w:cs="Arial"/>
        </w:rPr>
      </w:pPr>
    </w:p>
    <w:p w14:paraId="3398672E" w14:textId="7B170D9C" w:rsidR="009C33D8" w:rsidRDefault="009C33D8" w:rsidP="009C33D8">
      <w:pPr>
        <w:pStyle w:val="ListParagraph"/>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Pr>
          <w:rFonts w:ascii="Arial" w:hAnsi="Arial" w:cs="Arial"/>
        </w:rPr>
        <w:t xml:space="preserve">The </w:t>
      </w:r>
      <w:r w:rsidRPr="00717DC8">
        <w:rPr>
          <w:rFonts w:ascii="Arial" w:hAnsi="Arial" w:cs="Arial"/>
        </w:rPr>
        <w:t>fact we have only received a one year settlement has exacerbated the uncertainty and the risk in our medium term financial planning; in the absence of any figures or framework from Government, it has been almost impossible to prepare a credible financial strategy beyond 31 March 202</w:t>
      </w:r>
      <w:r>
        <w:rPr>
          <w:rFonts w:ascii="Arial" w:hAnsi="Arial" w:cs="Arial"/>
        </w:rPr>
        <w:t>3</w:t>
      </w:r>
      <w:r w:rsidRPr="00717DC8">
        <w:rPr>
          <w:rFonts w:ascii="Arial" w:hAnsi="Arial" w:cs="Arial"/>
        </w:rPr>
        <w:t xml:space="preserve"> with any degree of confidence in the underlying assumptions. Uncertainty prevails in respect of:</w:t>
      </w:r>
    </w:p>
    <w:p w14:paraId="36E69402" w14:textId="77777777" w:rsidR="009C33D8" w:rsidRDefault="009C33D8" w:rsidP="009C33D8">
      <w:pPr>
        <w:pStyle w:val="BodyText"/>
        <w:numPr>
          <w:ilvl w:val="0"/>
          <w:numId w:val="22"/>
        </w:numPr>
        <w:tabs>
          <w:tab w:val="clear" w:pos="1134"/>
        </w:tabs>
        <w:spacing w:line="240" w:lineRule="auto"/>
        <w:jc w:val="both"/>
        <w:rPr>
          <w:b/>
          <w:bCs/>
          <w:i/>
          <w:iCs/>
          <w:szCs w:val="22"/>
        </w:rPr>
      </w:pPr>
      <w:r w:rsidRPr="00717DC8">
        <w:rPr>
          <w:szCs w:val="22"/>
        </w:rPr>
        <w:t xml:space="preserve">the development and implementation of a new Fair Funding </w:t>
      </w:r>
      <w:r>
        <w:rPr>
          <w:szCs w:val="22"/>
        </w:rPr>
        <w:t>Review;</w:t>
      </w:r>
      <w:r w:rsidRPr="00717DC8">
        <w:rPr>
          <w:szCs w:val="22"/>
        </w:rPr>
        <w:t xml:space="preserve"> </w:t>
      </w:r>
    </w:p>
    <w:p w14:paraId="46C8D01E" w14:textId="77777777" w:rsidR="009C33D8" w:rsidRDefault="009C33D8" w:rsidP="009C33D8">
      <w:pPr>
        <w:pStyle w:val="BodyText"/>
        <w:numPr>
          <w:ilvl w:val="0"/>
          <w:numId w:val="22"/>
        </w:numPr>
        <w:tabs>
          <w:tab w:val="clear" w:pos="1134"/>
        </w:tabs>
        <w:spacing w:line="240" w:lineRule="auto"/>
        <w:jc w:val="both"/>
        <w:rPr>
          <w:b/>
          <w:bCs/>
          <w:i/>
          <w:iCs/>
          <w:szCs w:val="22"/>
        </w:rPr>
      </w:pPr>
      <w:r>
        <w:rPr>
          <w:szCs w:val="22"/>
        </w:rPr>
        <w:t>changes to the Business Rates Retention Scheme;</w:t>
      </w:r>
    </w:p>
    <w:p w14:paraId="20E4DC00" w14:textId="77777777" w:rsidR="009C33D8" w:rsidRDefault="009C33D8" w:rsidP="009C33D8">
      <w:pPr>
        <w:pStyle w:val="BodyText"/>
        <w:numPr>
          <w:ilvl w:val="0"/>
          <w:numId w:val="22"/>
        </w:numPr>
        <w:tabs>
          <w:tab w:val="clear" w:pos="1134"/>
        </w:tabs>
        <w:spacing w:line="240" w:lineRule="auto"/>
        <w:jc w:val="both"/>
        <w:rPr>
          <w:b/>
          <w:bCs/>
          <w:i/>
          <w:iCs/>
          <w:szCs w:val="22"/>
        </w:rPr>
      </w:pPr>
      <w:r w:rsidRPr="00CB6485">
        <w:rPr>
          <w:szCs w:val="22"/>
        </w:rPr>
        <w:t>the funding changes linked to the government’s ‘levelling up’ agenda and future shared prosperity funds;</w:t>
      </w:r>
    </w:p>
    <w:p w14:paraId="06D8C252" w14:textId="77777777" w:rsidR="009C33D8" w:rsidRPr="00CB6485" w:rsidRDefault="009C33D8" w:rsidP="009C33D8">
      <w:pPr>
        <w:pStyle w:val="BodyText"/>
        <w:numPr>
          <w:ilvl w:val="0"/>
          <w:numId w:val="22"/>
        </w:numPr>
        <w:tabs>
          <w:tab w:val="clear" w:pos="1134"/>
        </w:tabs>
        <w:spacing w:line="240" w:lineRule="auto"/>
        <w:jc w:val="both"/>
        <w:rPr>
          <w:b/>
          <w:bCs/>
          <w:i/>
          <w:iCs/>
          <w:szCs w:val="22"/>
        </w:rPr>
      </w:pPr>
      <w:r w:rsidRPr="00CB6485">
        <w:rPr>
          <w:szCs w:val="22"/>
        </w:rPr>
        <w:t>devolution and potential local government reorganisation and</w:t>
      </w:r>
      <w:r>
        <w:rPr>
          <w:szCs w:val="22"/>
        </w:rPr>
        <w:t>;</w:t>
      </w:r>
    </w:p>
    <w:p w14:paraId="44A380DB" w14:textId="77777777" w:rsidR="009C33D8" w:rsidRPr="00717DC8" w:rsidRDefault="009C33D8" w:rsidP="009C33D8">
      <w:pPr>
        <w:pStyle w:val="BodyText"/>
        <w:numPr>
          <w:ilvl w:val="0"/>
          <w:numId w:val="22"/>
        </w:numPr>
        <w:tabs>
          <w:tab w:val="clear" w:pos="1134"/>
        </w:tabs>
        <w:spacing w:line="240" w:lineRule="auto"/>
        <w:jc w:val="both"/>
        <w:rPr>
          <w:b/>
          <w:bCs/>
          <w:i/>
          <w:iCs/>
          <w:szCs w:val="22"/>
        </w:rPr>
      </w:pPr>
      <w:r w:rsidRPr="00717DC8">
        <w:rPr>
          <w:szCs w:val="22"/>
        </w:rPr>
        <w:t xml:space="preserve">in the public health, social, </w:t>
      </w:r>
      <w:proofErr w:type="gramStart"/>
      <w:r w:rsidRPr="00717DC8">
        <w:rPr>
          <w:szCs w:val="22"/>
        </w:rPr>
        <w:t>economic</w:t>
      </w:r>
      <w:proofErr w:type="gramEnd"/>
      <w:r w:rsidRPr="00717DC8">
        <w:rPr>
          <w:szCs w:val="22"/>
        </w:rPr>
        <w:t xml:space="preserve"> and financial impact of the global Covid-19 pandemic in both the short and medium term.</w:t>
      </w:r>
    </w:p>
    <w:p w14:paraId="06AF8F8D" w14:textId="77777777" w:rsidR="009C33D8" w:rsidRDefault="009C33D8" w:rsidP="009C33D8">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left="567"/>
        <w:jc w:val="both"/>
        <w:rPr>
          <w:rFonts w:ascii="Arial" w:hAnsi="Arial" w:cs="Arial"/>
        </w:rPr>
      </w:pPr>
    </w:p>
    <w:p w14:paraId="29B1A509" w14:textId="2001F8B9" w:rsidR="009C33D8" w:rsidRDefault="009C33D8" w:rsidP="009C33D8">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left="567"/>
        <w:jc w:val="both"/>
        <w:rPr>
          <w:rFonts w:ascii="Arial" w:hAnsi="Arial" w:cs="Arial"/>
        </w:rPr>
      </w:pPr>
      <w:r w:rsidRPr="00717DC8">
        <w:rPr>
          <w:rFonts w:ascii="Arial" w:hAnsi="Arial" w:cs="Arial"/>
        </w:rPr>
        <w:t xml:space="preserve">It </w:t>
      </w:r>
      <w:r w:rsidRPr="0076553E">
        <w:rPr>
          <w:rFonts w:ascii="Arial" w:hAnsi="Arial" w:cs="Arial"/>
        </w:rPr>
        <w:t>is within this financial context that we have developed the MTFS</w:t>
      </w:r>
    </w:p>
    <w:p w14:paraId="27037E5D" w14:textId="77777777" w:rsidR="009C33D8" w:rsidRPr="009C33D8" w:rsidRDefault="009C33D8" w:rsidP="009C33D8">
      <w:pPr>
        <w:spacing w:before="240"/>
        <w:jc w:val="both"/>
        <w:rPr>
          <w:rFonts w:ascii="Arial" w:hAnsi="Arial" w:cs="Arial"/>
          <w:b/>
        </w:rPr>
      </w:pPr>
      <w:r w:rsidRPr="009C33D8">
        <w:rPr>
          <w:rFonts w:ascii="Arial" w:hAnsi="Arial" w:cs="Arial"/>
          <w:b/>
        </w:rPr>
        <w:t>Fair Funding Review</w:t>
      </w:r>
    </w:p>
    <w:p w14:paraId="0B90E22B" w14:textId="4A2C1FCC" w:rsidR="009C33D8" w:rsidRPr="009E767A" w:rsidRDefault="009C33D8" w:rsidP="009C33D8">
      <w:pPr>
        <w:pStyle w:val="ListParagraph"/>
        <w:numPr>
          <w:ilvl w:val="0"/>
          <w:numId w:val="10"/>
        </w:numPr>
        <w:tabs>
          <w:tab w:val="clear" w:pos="567"/>
        </w:tabs>
        <w:spacing w:before="240" w:after="200" w:line="240" w:lineRule="auto"/>
        <w:jc w:val="both"/>
        <w:rPr>
          <w:rFonts w:ascii="Arial" w:hAnsi="Arial" w:cs="Arial"/>
        </w:rPr>
      </w:pPr>
      <w:r>
        <w:rPr>
          <w:rFonts w:ascii="Arial" w:hAnsi="Arial" w:cs="Arial"/>
        </w:rPr>
        <w:t>The</w:t>
      </w:r>
      <w:r w:rsidR="004F01CA" w:rsidRPr="005E531A">
        <w:rPr>
          <w:rFonts w:ascii="Arial" w:hAnsi="Arial" w:cs="Arial"/>
        </w:rPr>
        <w:t xml:space="preserve"> </w:t>
      </w:r>
      <w:r w:rsidRPr="009E767A">
        <w:rPr>
          <w:rFonts w:ascii="Arial" w:hAnsi="Arial" w:cs="Arial"/>
        </w:rPr>
        <w:t xml:space="preserve">current funding baselines for local authorities in England, as determined by the annual </w:t>
      </w:r>
      <w:r w:rsidR="00EC3903">
        <w:rPr>
          <w:rFonts w:ascii="Arial" w:hAnsi="Arial" w:cs="Arial"/>
        </w:rPr>
        <w:t>L</w:t>
      </w:r>
      <w:r w:rsidRPr="009E767A">
        <w:rPr>
          <w:rFonts w:ascii="Arial" w:hAnsi="Arial" w:cs="Arial"/>
        </w:rPr>
        <w:t xml:space="preserve">ocal </w:t>
      </w:r>
      <w:r w:rsidR="00EC3903">
        <w:rPr>
          <w:rFonts w:ascii="Arial" w:hAnsi="Arial" w:cs="Arial"/>
        </w:rPr>
        <w:t>G</w:t>
      </w:r>
      <w:r w:rsidRPr="009E767A">
        <w:rPr>
          <w:rFonts w:ascii="Arial" w:hAnsi="Arial" w:cs="Arial"/>
        </w:rPr>
        <w:t xml:space="preserve">overnment </w:t>
      </w:r>
      <w:r w:rsidR="00EC3903">
        <w:rPr>
          <w:rFonts w:ascii="Arial" w:hAnsi="Arial" w:cs="Arial"/>
        </w:rPr>
        <w:t>F</w:t>
      </w:r>
      <w:r w:rsidRPr="009E767A">
        <w:rPr>
          <w:rFonts w:ascii="Arial" w:hAnsi="Arial" w:cs="Arial"/>
        </w:rPr>
        <w:t xml:space="preserve">inance </w:t>
      </w:r>
      <w:r w:rsidR="00EC3903">
        <w:rPr>
          <w:rFonts w:ascii="Arial" w:hAnsi="Arial" w:cs="Arial"/>
        </w:rPr>
        <w:t>S</w:t>
      </w:r>
      <w:r w:rsidRPr="009E767A">
        <w:rPr>
          <w:rFonts w:ascii="Arial" w:hAnsi="Arial" w:cs="Arial"/>
        </w:rPr>
        <w:t>ettlement, are based on an assessment of each authority’s relative needs and resources. The methodology behind this assessment was first introduced over ten years ago and has not been updated since the introduction of the 50% business rates retention system in 2013-14.</w:t>
      </w:r>
    </w:p>
    <w:p w14:paraId="50414FE1" w14:textId="77777777" w:rsidR="009C33D8" w:rsidRPr="009E767A" w:rsidRDefault="009C33D8" w:rsidP="009C33D8">
      <w:pPr>
        <w:pStyle w:val="Default"/>
        <w:numPr>
          <w:ilvl w:val="0"/>
          <w:numId w:val="10"/>
        </w:numPr>
        <w:tabs>
          <w:tab w:val="clear" w:pos="567"/>
        </w:tabs>
        <w:spacing w:before="240" w:after="240"/>
        <w:jc w:val="both"/>
        <w:rPr>
          <w:rFonts w:ascii="Arial" w:hAnsi="Arial" w:cs="Arial"/>
          <w:sz w:val="22"/>
          <w:szCs w:val="22"/>
        </w:rPr>
      </w:pPr>
      <w:r w:rsidRPr="009E767A">
        <w:rPr>
          <w:rFonts w:ascii="Arial" w:hAnsi="Arial" w:cs="Arial"/>
          <w:sz w:val="22"/>
          <w:szCs w:val="22"/>
        </w:rPr>
        <w:t xml:space="preserve">Whilst this approach has ensured that those councils who have grown their business rates since this time have benefited from the additional income generated, it also means that the changes in the underlying level of ‘need’ within individual councils, has not been updated since the 2013-14 settlement. In addition, a desire to fully capture every aspect of a local authority’s needs has led to increasingly large numbers of variables being included in the formulas, many of which have had a relatively minimal impact on the overall distribution of funding. </w:t>
      </w:r>
    </w:p>
    <w:p w14:paraId="74A256C8" w14:textId="2AA45056" w:rsidR="009C33D8" w:rsidRDefault="009C33D8" w:rsidP="009C33D8">
      <w:pPr>
        <w:pStyle w:val="ListParagraph"/>
        <w:numPr>
          <w:ilvl w:val="0"/>
          <w:numId w:val="10"/>
        </w:numPr>
        <w:tabs>
          <w:tab w:val="clear" w:pos="567"/>
        </w:tabs>
        <w:spacing w:after="240" w:line="240" w:lineRule="auto"/>
        <w:jc w:val="both"/>
        <w:rPr>
          <w:rFonts w:ascii="Arial" w:hAnsi="Arial" w:cs="Arial"/>
        </w:rPr>
      </w:pPr>
      <w:r w:rsidRPr="009E767A">
        <w:rPr>
          <w:rFonts w:ascii="Arial" w:hAnsi="Arial" w:cs="Arial"/>
        </w:rPr>
        <w:t xml:space="preserve">A consultation was issued at the end of 2018, which closed on 21 February 2019, on proposals for a new and simplified needs assessment formula, based on a smaller number of indicators; three years later, we are still awaiting the response. </w:t>
      </w:r>
    </w:p>
    <w:p w14:paraId="0E64C921" w14:textId="6A8E88EF" w:rsidR="009C33D8" w:rsidRPr="009C33D8" w:rsidRDefault="009C33D8" w:rsidP="009C33D8">
      <w:pPr>
        <w:pBdr>
          <w:top w:val="single" w:sz="2" w:space="1" w:color="FFFFFF"/>
          <w:left w:val="single" w:sz="2" w:space="0" w:color="FFFFFF"/>
          <w:bottom w:val="single" w:sz="2" w:space="2" w:color="FFFFFF"/>
          <w:right w:val="single" w:sz="2" w:space="4" w:color="FFFFFF"/>
        </w:pBdr>
        <w:spacing w:after="0" w:line="240" w:lineRule="auto"/>
        <w:jc w:val="both"/>
        <w:rPr>
          <w:rFonts w:ascii="Arial" w:hAnsi="Arial" w:cs="Arial"/>
        </w:rPr>
      </w:pPr>
      <w:r w:rsidRPr="009C33D8">
        <w:rPr>
          <w:rFonts w:ascii="Arial" w:hAnsi="Arial" w:cs="Arial"/>
          <w:b/>
        </w:rPr>
        <w:t>Business Rates Retention</w:t>
      </w:r>
    </w:p>
    <w:p w14:paraId="7CAAB34D" w14:textId="77777777" w:rsidR="009C33D8" w:rsidRPr="009E767A" w:rsidRDefault="009C33D8" w:rsidP="009C33D8">
      <w:pPr>
        <w:pStyle w:val="ListParagraph"/>
        <w:spacing w:after="240" w:line="240" w:lineRule="auto"/>
        <w:ind w:left="567"/>
        <w:jc w:val="both"/>
        <w:rPr>
          <w:rFonts w:ascii="Arial" w:hAnsi="Arial" w:cs="Arial"/>
        </w:rPr>
      </w:pPr>
    </w:p>
    <w:p w14:paraId="3D1549EB" w14:textId="57042BEE" w:rsidR="009C33D8" w:rsidRDefault="009C33D8" w:rsidP="009C33D8">
      <w:pPr>
        <w:pStyle w:val="ListParagraph"/>
        <w:numPr>
          <w:ilvl w:val="0"/>
          <w:numId w:val="10"/>
        </w:numPr>
        <w:pBdr>
          <w:top w:val="single" w:sz="2" w:space="1" w:color="FFFFFF"/>
          <w:left w:val="single" w:sz="2" w:space="0" w:color="FFFFFF"/>
          <w:bottom w:val="single" w:sz="2" w:space="2" w:color="FFFFFF"/>
          <w:right w:val="single" w:sz="2" w:space="4" w:color="FFFFFF"/>
        </w:pBdr>
        <w:tabs>
          <w:tab w:val="left" w:pos="567"/>
        </w:tabs>
        <w:spacing w:before="240" w:after="0" w:line="240" w:lineRule="auto"/>
        <w:ind w:right="141"/>
        <w:jc w:val="both"/>
        <w:rPr>
          <w:rFonts w:ascii="Arial" w:hAnsi="Arial" w:cs="Arial"/>
        </w:rPr>
      </w:pPr>
      <w:r>
        <w:rPr>
          <w:rFonts w:ascii="Arial" w:hAnsi="Arial" w:cs="Arial"/>
        </w:rPr>
        <w:t xml:space="preserve">Forecasting </w:t>
      </w:r>
      <w:r w:rsidRPr="008359CB">
        <w:rPr>
          <w:rFonts w:ascii="Arial" w:hAnsi="Arial" w:cs="Arial"/>
        </w:rPr>
        <w:t xml:space="preserve">the level of business rates income beyond 2022/23 remains complicated due to the level of uncertainty in this area. </w:t>
      </w:r>
    </w:p>
    <w:p w14:paraId="7522EA30" w14:textId="51EF7345" w:rsidR="000E329F" w:rsidRDefault="009C33D8" w:rsidP="009C33D8">
      <w:pPr>
        <w:pStyle w:val="Default"/>
        <w:numPr>
          <w:ilvl w:val="0"/>
          <w:numId w:val="10"/>
        </w:numPr>
        <w:tabs>
          <w:tab w:val="clear" w:pos="567"/>
        </w:tabs>
        <w:spacing w:before="240"/>
        <w:jc w:val="both"/>
        <w:rPr>
          <w:rFonts w:ascii="Arial" w:hAnsi="Arial" w:cs="Arial"/>
          <w:sz w:val="22"/>
          <w:szCs w:val="22"/>
        </w:rPr>
      </w:pPr>
      <w:r w:rsidRPr="008359CB">
        <w:rPr>
          <w:rFonts w:ascii="Arial" w:hAnsi="Arial" w:cs="Arial"/>
          <w:sz w:val="22"/>
          <w:szCs w:val="22"/>
        </w:rPr>
        <w:t xml:space="preserve">As </w:t>
      </w:r>
      <w:r w:rsidR="000E329F" w:rsidRPr="008359CB">
        <w:rPr>
          <w:rFonts w:ascii="Arial" w:hAnsi="Arial" w:cs="Arial"/>
          <w:sz w:val="22"/>
          <w:szCs w:val="22"/>
        </w:rPr>
        <w:t xml:space="preserve">for the Fair Funding Review, although a consultation outlining suggestions and inviting comments for a future approach to Business Rates was undertaken in late 2018, closing </w:t>
      </w:r>
      <w:r w:rsidR="000E329F">
        <w:rPr>
          <w:rFonts w:ascii="Arial" w:hAnsi="Arial" w:cs="Arial"/>
          <w:sz w:val="22"/>
          <w:szCs w:val="22"/>
        </w:rPr>
        <w:t xml:space="preserve">in </w:t>
      </w:r>
      <w:r w:rsidR="000E329F" w:rsidRPr="008359CB">
        <w:rPr>
          <w:rFonts w:ascii="Arial" w:hAnsi="Arial" w:cs="Arial"/>
          <w:sz w:val="22"/>
          <w:szCs w:val="22"/>
        </w:rPr>
        <w:t xml:space="preserve">February 2019, given the political turmoil of 2019 and Brexit, followed by global </w:t>
      </w:r>
      <w:r w:rsidR="000E329F" w:rsidRPr="008359CB">
        <w:rPr>
          <w:rFonts w:ascii="Arial" w:hAnsi="Arial" w:cs="Arial"/>
          <w:sz w:val="22"/>
          <w:szCs w:val="22"/>
        </w:rPr>
        <w:lastRenderedPageBreak/>
        <w:t xml:space="preserve">crisis due to Covid-19, there has been little progress in the development of a new </w:t>
      </w:r>
      <w:r w:rsidR="000E329F">
        <w:rPr>
          <w:rFonts w:ascii="Arial" w:hAnsi="Arial" w:cs="Arial"/>
          <w:sz w:val="22"/>
          <w:szCs w:val="22"/>
        </w:rPr>
        <w:t>scheme.</w:t>
      </w:r>
    </w:p>
    <w:p w14:paraId="3F989F37" w14:textId="77777777" w:rsidR="009C33D8" w:rsidRPr="008359CB" w:rsidRDefault="009C33D8" w:rsidP="009C33D8">
      <w:pPr>
        <w:pStyle w:val="ListParagraph"/>
        <w:numPr>
          <w:ilvl w:val="0"/>
          <w:numId w:val="10"/>
        </w:numPr>
        <w:pBdr>
          <w:top w:val="single" w:sz="2" w:space="1" w:color="FFFFFF"/>
          <w:left w:val="single" w:sz="2" w:space="0" w:color="FFFFFF"/>
          <w:bottom w:val="single" w:sz="2" w:space="2" w:color="FFFFFF"/>
          <w:right w:val="single" w:sz="2" w:space="4" w:color="FFFFFF"/>
        </w:pBdr>
        <w:tabs>
          <w:tab w:val="left" w:pos="567"/>
        </w:tabs>
        <w:spacing w:before="240" w:after="0" w:line="240" w:lineRule="auto"/>
        <w:ind w:right="141"/>
        <w:jc w:val="both"/>
        <w:rPr>
          <w:rFonts w:ascii="Arial" w:hAnsi="Arial" w:cs="Arial"/>
        </w:rPr>
      </w:pPr>
      <w:r w:rsidRPr="008359CB">
        <w:rPr>
          <w:rFonts w:ascii="Arial" w:hAnsi="Arial" w:cs="Arial"/>
        </w:rPr>
        <w:t>In March 2020, the government published the Terms of Reference for the Business Rates Review, setting out that the objectives of this were to reduce the overall burden on business, to improve the current business rates system and to consider more fundamental changes in the medium-to-long term. In March 2021, the government published the Interim Report of the review, with the final report issued in October 2021.</w:t>
      </w:r>
    </w:p>
    <w:p w14:paraId="5D20D593" w14:textId="77777777" w:rsidR="009C33D8" w:rsidRPr="008359CB" w:rsidRDefault="009C33D8" w:rsidP="009C33D8">
      <w:pPr>
        <w:pBdr>
          <w:top w:val="single" w:sz="2" w:space="1" w:color="FFFFFF"/>
          <w:left w:val="single" w:sz="2" w:space="0" w:color="FFFFFF"/>
          <w:bottom w:val="single" w:sz="2" w:space="2" w:color="FFFFFF"/>
          <w:right w:val="single" w:sz="2" w:space="4" w:color="FFFFFF"/>
        </w:pBdr>
        <w:spacing w:after="0"/>
        <w:ind w:left="1287"/>
        <w:rPr>
          <w:rFonts w:ascii="Arial" w:hAnsi="Arial" w:cs="Arial"/>
          <w:bCs/>
          <w:iCs/>
        </w:rPr>
      </w:pPr>
    </w:p>
    <w:p w14:paraId="4FAE4503" w14:textId="77777777" w:rsidR="009C33D8" w:rsidRPr="008359CB" w:rsidRDefault="009C33D8" w:rsidP="009C33D8">
      <w:pPr>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rFonts w:ascii="Arial" w:hAnsi="Arial" w:cs="Arial"/>
        </w:rPr>
      </w:pPr>
      <w:r w:rsidRPr="008359CB">
        <w:rPr>
          <w:rFonts w:ascii="Arial" w:hAnsi="Arial" w:cs="Arial"/>
        </w:rPr>
        <w:t>The government has concluded from their review;</w:t>
      </w:r>
    </w:p>
    <w:p w14:paraId="6B9A7168" w14:textId="77777777" w:rsidR="009C33D8" w:rsidRPr="008359CB" w:rsidRDefault="009C33D8" w:rsidP="009C33D8">
      <w:pPr>
        <w:pStyle w:val="ListParagraph"/>
        <w:spacing w:after="0"/>
        <w:ind w:left="1440"/>
        <w:rPr>
          <w:rFonts w:ascii="Arial" w:hAnsi="Arial" w:cs="Arial"/>
        </w:rPr>
      </w:pPr>
    </w:p>
    <w:p w14:paraId="1EFDA383" w14:textId="77777777" w:rsidR="009C33D8" w:rsidRPr="008359CB" w:rsidRDefault="009C33D8" w:rsidP="009C33D8">
      <w:pPr>
        <w:numPr>
          <w:ilvl w:val="0"/>
          <w:numId w:val="23"/>
        </w:numPr>
        <w:pBdr>
          <w:top w:val="single" w:sz="2" w:space="1" w:color="FFFFFF"/>
          <w:left w:val="single" w:sz="2" w:space="0" w:color="FFFFFF"/>
          <w:bottom w:val="single" w:sz="2" w:space="2" w:color="FFFFFF"/>
          <w:right w:val="single" w:sz="2" w:space="4" w:color="FFFFFF"/>
        </w:pBdr>
        <w:tabs>
          <w:tab w:val="clear" w:pos="567"/>
          <w:tab w:val="num" w:pos="1287"/>
        </w:tabs>
        <w:spacing w:after="0" w:line="240" w:lineRule="auto"/>
        <w:ind w:left="1287" w:right="141"/>
        <w:jc w:val="both"/>
        <w:rPr>
          <w:rFonts w:ascii="Arial" w:hAnsi="Arial" w:cs="Arial"/>
        </w:rPr>
      </w:pPr>
      <w:r w:rsidRPr="008359CB">
        <w:rPr>
          <w:rFonts w:ascii="Arial" w:hAnsi="Arial" w:cs="Arial"/>
        </w:rPr>
        <w:t>that business rates are a vital component of the business tax mix;</w:t>
      </w:r>
    </w:p>
    <w:p w14:paraId="03768E78" w14:textId="77777777" w:rsidR="009C33D8" w:rsidRPr="008359CB" w:rsidRDefault="009C33D8" w:rsidP="009C33D8">
      <w:pPr>
        <w:numPr>
          <w:ilvl w:val="0"/>
          <w:numId w:val="23"/>
        </w:numPr>
        <w:pBdr>
          <w:top w:val="single" w:sz="2" w:space="1" w:color="FFFFFF"/>
          <w:left w:val="single" w:sz="2" w:space="0" w:color="FFFFFF"/>
          <w:bottom w:val="single" w:sz="2" w:space="2" w:color="FFFFFF"/>
          <w:right w:val="single" w:sz="2" w:space="4" w:color="FFFFFF"/>
        </w:pBdr>
        <w:tabs>
          <w:tab w:val="clear" w:pos="567"/>
          <w:tab w:val="num" w:pos="1287"/>
        </w:tabs>
        <w:spacing w:after="0" w:line="240" w:lineRule="auto"/>
        <w:ind w:left="1287" w:right="141"/>
        <w:jc w:val="both"/>
        <w:rPr>
          <w:rFonts w:ascii="Arial" w:hAnsi="Arial" w:cs="Arial"/>
        </w:rPr>
      </w:pPr>
      <w:r w:rsidRPr="008359CB">
        <w:rPr>
          <w:rFonts w:ascii="Arial" w:hAnsi="Arial" w:cs="Arial"/>
        </w:rPr>
        <w:t>that they wish to preserve the benefits of business rates but will make changes to make their operation fairer and more effective for businesses;</w:t>
      </w:r>
    </w:p>
    <w:p w14:paraId="764435B5" w14:textId="77777777" w:rsidR="009C33D8" w:rsidRPr="008359CB" w:rsidRDefault="009C33D8" w:rsidP="009C33D8">
      <w:pPr>
        <w:numPr>
          <w:ilvl w:val="0"/>
          <w:numId w:val="23"/>
        </w:numPr>
        <w:pBdr>
          <w:top w:val="single" w:sz="2" w:space="1" w:color="FFFFFF"/>
          <w:left w:val="single" w:sz="2" w:space="0" w:color="FFFFFF"/>
          <w:bottom w:val="single" w:sz="2" w:space="2" w:color="FFFFFF"/>
          <w:right w:val="single" w:sz="2" w:space="4" w:color="FFFFFF"/>
        </w:pBdr>
        <w:tabs>
          <w:tab w:val="clear" w:pos="567"/>
          <w:tab w:val="num" w:pos="1287"/>
        </w:tabs>
        <w:spacing w:after="0" w:line="240" w:lineRule="auto"/>
        <w:ind w:left="1287" w:right="141"/>
        <w:jc w:val="both"/>
        <w:rPr>
          <w:rFonts w:ascii="Arial" w:hAnsi="Arial" w:cs="Arial"/>
        </w:rPr>
      </w:pPr>
      <w:r w:rsidRPr="008359CB">
        <w:rPr>
          <w:rFonts w:ascii="Arial" w:hAnsi="Arial" w:cs="Arial"/>
        </w:rPr>
        <w:t>that they are not proposing changing the nature of the tax, or the basis of valuation;</w:t>
      </w:r>
    </w:p>
    <w:p w14:paraId="31CD4FB9" w14:textId="77777777" w:rsidR="009C33D8" w:rsidRPr="008359CB" w:rsidRDefault="009C33D8" w:rsidP="009C33D8">
      <w:pPr>
        <w:numPr>
          <w:ilvl w:val="0"/>
          <w:numId w:val="24"/>
        </w:numPr>
        <w:pBdr>
          <w:top w:val="single" w:sz="2" w:space="1" w:color="FFFFFF"/>
          <w:left w:val="single" w:sz="2" w:space="0" w:color="FFFFFF"/>
          <w:bottom w:val="single" w:sz="2" w:space="2" w:color="FFFFFF"/>
          <w:right w:val="single" w:sz="2" w:space="4" w:color="FFFFFF"/>
        </w:pBdr>
        <w:tabs>
          <w:tab w:val="clear" w:pos="1134"/>
          <w:tab w:val="num" w:pos="1287"/>
        </w:tabs>
        <w:spacing w:after="0" w:line="240" w:lineRule="auto"/>
        <w:ind w:left="1287" w:right="141"/>
        <w:jc w:val="both"/>
        <w:rPr>
          <w:rFonts w:ascii="Arial" w:hAnsi="Arial" w:cs="Arial"/>
          <w:szCs w:val="20"/>
        </w:rPr>
      </w:pPr>
      <w:r w:rsidRPr="008359CB">
        <w:rPr>
          <w:rFonts w:ascii="Arial" w:hAnsi="Arial" w:cs="Arial"/>
        </w:rPr>
        <w:t xml:space="preserve">moving forward, they have concluded that increasing the frequency of revaluations would represent a fundamental and meaningful improvement to the business rates system and would help to ensure greater distributional fairness; currently, revaluations are scheduled to take place every 5 years although in practice, and due in part to the pandemic, these have only taken place about every 6-7 years. As such government has announced a 3-yearly cycle for business rates revaluations, starting from the next revaluation in 2023. </w:t>
      </w:r>
    </w:p>
    <w:p w14:paraId="2C78467F" w14:textId="77777777" w:rsidR="009C33D8" w:rsidRDefault="009C33D8" w:rsidP="009C33D8">
      <w:pPr>
        <w:pBdr>
          <w:top w:val="single" w:sz="2" w:space="1" w:color="FFFFFF"/>
          <w:left w:val="single" w:sz="2" w:space="0" w:color="FFFFFF"/>
          <w:bottom w:val="single" w:sz="2" w:space="2" w:color="FFFFFF"/>
          <w:right w:val="single" w:sz="2" w:space="4" w:color="FFFFFF"/>
        </w:pBdr>
        <w:spacing w:after="0" w:line="240" w:lineRule="auto"/>
        <w:ind w:left="1287" w:right="141"/>
        <w:jc w:val="both"/>
        <w:rPr>
          <w:rFonts w:ascii="Arial" w:hAnsi="Arial" w:cs="Arial"/>
        </w:rPr>
      </w:pPr>
    </w:p>
    <w:p w14:paraId="24EBCEF6" w14:textId="77777777" w:rsidR="009C33D8" w:rsidRDefault="009C33D8" w:rsidP="009C33D8">
      <w:pPr>
        <w:pStyle w:val="ListParagraph"/>
        <w:numPr>
          <w:ilvl w:val="0"/>
          <w:numId w:val="8"/>
        </w:numPr>
        <w:pBdr>
          <w:top w:val="single" w:sz="2" w:space="1" w:color="FFFFFF"/>
          <w:left w:val="single" w:sz="2" w:space="0" w:color="FFFFFF"/>
          <w:bottom w:val="single" w:sz="2" w:space="2" w:color="FFFFFF"/>
          <w:right w:val="single" w:sz="2" w:space="4" w:color="FFFFFF"/>
        </w:pBdr>
        <w:spacing w:after="0" w:line="240" w:lineRule="auto"/>
        <w:jc w:val="both"/>
        <w:rPr>
          <w:rFonts w:ascii="Arial" w:hAnsi="Arial" w:cs="Arial"/>
        </w:rPr>
      </w:pPr>
      <w:proofErr w:type="gramStart"/>
      <w:r w:rsidRPr="008359CB">
        <w:rPr>
          <w:rFonts w:ascii="Arial" w:hAnsi="Arial" w:cs="Arial"/>
        </w:rPr>
        <w:t>In light of</w:t>
      </w:r>
      <w:proofErr w:type="gramEnd"/>
      <w:r w:rsidRPr="008359CB">
        <w:rPr>
          <w:rFonts w:ascii="Arial" w:hAnsi="Arial" w:cs="Arial"/>
        </w:rPr>
        <w:t xml:space="preserve"> the above, the quantum of business rates that will remain available to the council after the reset is uncertain. Likewise, the level of funding that councils</w:t>
      </w:r>
      <w:r>
        <w:rPr>
          <w:rFonts w:ascii="Arial" w:hAnsi="Arial" w:cs="Arial"/>
        </w:rPr>
        <w:t xml:space="preserve"> will </w:t>
      </w:r>
      <w:r w:rsidRPr="008359CB">
        <w:rPr>
          <w:rFonts w:ascii="Arial" w:hAnsi="Arial" w:cs="Arial"/>
        </w:rPr>
        <w:t xml:space="preserve">retain from business rates will be reviewed across the country </w:t>
      </w:r>
      <w:r>
        <w:rPr>
          <w:rFonts w:ascii="Arial" w:hAnsi="Arial" w:cs="Arial"/>
        </w:rPr>
        <w:t xml:space="preserve">and is </w:t>
      </w:r>
      <w:r w:rsidRPr="008359CB">
        <w:rPr>
          <w:rFonts w:ascii="Arial" w:hAnsi="Arial" w:cs="Arial"/>
        </w:rPr>
        <w:t>expected to flow from the outcome of the Fair Funding Review, however no date has been set for these reforms.</w:t>
      </w:r>
    </w:p>
    <w:p w14:paraId="10B63D6B" w14:textId="77777777" w:rsidR="009C33D8" w:rsidRDefault="009C33D8" w:rsidP="009C33D8">
      <w:pPr>
        <w:pBdr>
          <w:top w:val="single" w:sz="2" w:space="1" w:color="FFFFFF"/>
          <w:left w:val="single" w:sz="2" w:space="0" w:color="FFFFFF"/>
          <w:bottom w:val="single" w:sz="2" w:space="2" w:color="FFFFFF"/>
          <w:right w:val="single" w:sz="2" w:space="4" w:color="FFFFFF"/>
        </w:pBdr>
        <w:spacing w:after="0" w:line="240" w:lineRule="auto"/>
        <w:jc w:val="both"/>
        <w:rPr>
          <w:rFonts w:ascii="Arial" w:hAnsi="Arial" w:cs="Arial"/>
          <w:b/>
        </w:rPr>
      </w:pPr>
    </w:p>
    <w:p w14:paraId="2502E8FB" w14:textId="0CAAD4E6" w:rsidR="009C33D8" w:rsidRPr="009C33D8" w:rsidRDefault="009C33D8" w:rsidP="009C33D8">
      <w:pPr>
        <w:pBdr>
          <w:top w:val="single" w:sz="2" w:space="1" w:color="FFFFFF"/>
          <w:left w:val="single" w:sz="2" w:space="0" w:color="FFFFFF"/>
          <w:bottom w:val="single" w:sz="2" w:space="2" w:color="FFFFFF"/>
          <w:right w:val="single" w:sz="2" w:space="4" w:color="FFFFFF"/>
        </w:pBdr>
        <w:spacing w:after="0" w:line="240" w:lineRule="auto"/>
        <w:jc w:val="both"/>
        <w:rPr>
          <w:rFonts w:ascii="Arial" w:hAnsi="Arial" w:cs="Arial"/>
        </w:rPr>
      </w:pPr>
      <w:r w:rsidRPr="009C33D8">
        <w:rPr>
          <w:rFonts w:ascii="Arial" w:hAnsi="Arial" w:cs="Arial"/>
          <w:b/>
        </w:rPr>
        <w:t>Levelling-Up Agenda</w:t>
      </w:r>
    </w:p>
    <w:p w14:paraId="20B49C85" w14:textId="77777777" w:rsidR="009C33D8" w:rsidRDefault="009C33D8" w:rsidP="009C33D8">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Arial" w:hAnsi="Arial" w:cs="Arial"/>
        </w:rPr>
      </w:pPr>
    </w:p>
    <w:p w14:paraId="2BFA971B" w14:textId="7D5D42E6" w:rsidR="009C33D8" w:rsidRPr="008359CB" w:rsidRDefault="00E50260" w:rsidP="009C33D8">
      <w:pPr>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Pr>
          <w:rFonts w:ascii="Arial" w:hAnsi="Arial" w:cs="Arial"/>
        </w:rPr>
        <w:t>The</w:t>
      </w:r>
      <w:r w:rsidR="000E329F">
        <w:rPr>
          <w:rFonts w:ascii="Arial" w:hAnsi="Arial" w:cs="Arial"/>
        </w:rPr>
        <w:t xml:space="preserve"> </w:t>
      </w:r>
      <w:r w:rsidR="000E329F" w:rsidRPr="008359CB">
        <w:rPr>
          <w:rFonts w:ascii="Arial" w:hAnsi="Arial" w:cs="Arial"/>
        </w:rPr>
        <w:t>‘Levelling up the United Kingdom’ White Paper was issued by the Government on 2 February 2022. The paper states that this agenda is a long-term endeavour requiring a programme of change that will facilitate a shift in how central and local government, the private sector and civil society</w:t>
      </w:r>
      <w:r>
        <w:rPr>
          <w:rFonts w:ascii="Arial" w:hAnsi="Arial" w:cs="Arial"/>
        </w:rPr>
        <w:t xml:space="preserve"> </w:t>
      </w:r>
      <w:r w:rsidR="009C33D8" w:rsidRPr="008359CB">
        <w:rPr>
          <w:rFonts w:ascii="Arial" w:hAnsi="Arial" w:cs="Arial"/>
        </w:rPr>
        <w:t xml:space="preserve">operate. </w:t>
      </w:r>
    </w:p>
    <w:p w14:paraId="4783A287" w14:textId="77777777" w:rsidR="009C33D8" w:rsidRPr="008359CB" w:rsidRDefault="009C33D8" w:rsidP="009C33D8">
      <w:pPr>
        <w:pBdr>
          <w:top w:val="single" w:sz="2" w:space="1" w:color="FFFFFF"/>
          <w:left w:val="single" w:sz="2" w:space="0" w:color="FFFFFF"/>
          <w:bottom w:val="single" w:sz="2" w:space="2" w:color="FFFFFF"/>
          <w:right w:val="single" w:sz="2" w:space="4" w:color="FFFFFF"/>
        </w:pBdr>
        <w:spacing w:after="0" w:line="240" w:lineRule="auto"/>
        <w:ind w:left="1287"/>
        <w:jc w:val="both"/>
        <w:rPr>
          <w:rFonts w:ascii="Arial" w:hAnsi="Arial" w:cs="Arial"/>
        </w:rPr>
      </w:pPr>
    </w:p>
    <w:p w14:paraId="1FFEE5F8" w14:textId="77777777" w:rsidR="009C33D8" w:rsidRPr="008359CB" w:rsidRDefault="009C33D8" w:rsidP="00E50260">
      <w:pPr>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8359CB">
        <w:rPr>
          <w:rFonts w:ascii="Arial" w:hAnsi="Arial" w:cs="Arial"/>
        </w:rPr>
        <w:t xml:space="preserve">A consultation will </w:t>
      </w:r>
      <w:proofErr w:type="gramStart"/>
      <w:r w:rsidRPr="008359CB">
        <w:rPr>
          <w:rFonts w:ascii="Arial" w:hAnsi="Arial" w:cs="Arial"/>
        </w:rPr>
        <w:t>follow</w:t>
      </w:r>
      <w:proofErr w:type="gramEnd"/>
      <w:r w:rsidRPr="008359CB">
        <w:rPr>
          <w:rFonts w:ascii="Arial" w:hAnsi="Arial" w:cs="Arial"/>
        </w:rPr>
        <w:t xml:space="preserve"> and further details will be provided in due course on several of the policy commitments referred to within the paper. In addition, legislation will be required before Parliament to underpin in statute the changes that will be fundamental to levelling up, alongside wider planning measures.</w:t>
      </w:r>
    </w:p>
    <w:p w14:paraId="10C9152B" w14:textId="77777777" w:rsidR="009C33D8" w:rsidRPr="008359CB" w:rsidRDefault="009C33D8" w:rsidP="00E50260">
      <w:pPr>
        <w:pStyle w:val="ListParagraph"/>
        <w:spacing w:after="0"/>
        <w:ind w:left="1440"/>
        <w:rPr>
          <w:rFonts w:ascii="Arial" w:hAnsi="Arial" w:cs="Arial"/>
        </w:rPr>
      </w:pPr>
    </w:p>
    <w:p w14:paraId="0D3DBD55" w14:textId="77777777" w:rsidR="009C33D8" w:rsidRDefault="009C33D8" w:rsidP="00E50260">
      <w:pPr>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8359CB">
        <w:rPr>
          <w:rFonts w:ascii="Arial" w:hAnsi="Arial" w:cs="Arial"/>
        </w:rPr>
        <w:t>As such, it is not anticipated</w:t>
      </w:r>
      <w:r>
        <w:rPr>
          <w:rFonts w:ascii="Arial" w:hAnsi="Arial" w:cs="Arial"/>
        </w:rPr>
        <w:t xml:space="preserve"> that this agenda will have imminent impact on the finances of the council at this stage. </w:t>
      </w:r>
    </w:p>
    <w:p w14:paraId="14952DE3" w14:textId="77777777" w:rsidR="009C33D8" w:rsidRPr="00E7235F" w:rsidRDefault="009C33D8" w:rsidP="009C33D8">
      <w:pPr>
        <w:pBdr>
          <w:top w:val="single" w:sz="2" w:space="1" w:color="FFFFFF"/>
          <w:left w:val="single" w:sz="2" w:space="0" w:color="FFFFFF"/>
          <w:bottom w:val="single" w:sz="2" w:space="2" w:color="FFFFFF"/>
          <w:right w:val="single" w:sz="2" w:space="4" w:color="FFFFFF"/>
        </w:pBdr>
        <w:spacing w:after="0" w:line="240" w:lineRule="auto"/>
        <w:ind w:left="720"/>
        <w:jc w:val="both"/>
        <w:rPr>
          <w:rFonts w:ascii="Arial" w:hAnsi="Arial" w:cs="Arial"/>
        </w:rPr>
      </w:pPr>
    </w:p>
    <w:p w14:paraId="77049BDB" w14:textId="60E61177" w:rsidR="00E50260" w:rsidRPr="005E531A" w:rsidRDefault="00E50260" w:rsidP="00E50260">
      <w:pPr>
        <w:pStyle w:val="Heading2"/>
        <w:rPr>
          <w:rFonts w:ascii="Arial" w:eastAsiaTheme="minorHAnsi" w:hAnsi="Arial" w:cs="Arial"/>
          <w:color w:val="147FA8"/>
          <w:sz w:val="24"/>
          <w:szCs w:val="24"/>
        </w:rPr>
      </w:pPr>
      <w:r>
        <w:rPr>
          <w:rFonts w:ascii="Arial" w:eastAsiaTheme="minorHAnsi" w:hAnsi="Arial" w:cs="Arial"/>
          <w:color w:val="147FA8"/>
          <w:sz w:val="24"/>
          <w:szCs w:val="24"/>
        </w:rPr>
        <w:t>ASSUMPTIONS MADE WITHIN THE MTFS</w:t>
      </w:r>
    </w:p>
    <w:p w14:paraId="0E789DE7" w14:textId="77777777" w:rsidR="00E50260" w:rsidRDefault="00E50260" w:rsidP="00E50260">
      <w:pPr>
        <w:pStyle w:val="ListParagraph"/>
        <w:numPr>
          <w:ilvl w:val="0"/>
          <w:numId w:val="10"/>
        </w:numPr>
        <w:pBdr>
          <w:top w:val="single" w:sz="2" w:space="1" w:color="FFFFFF"/>
          <w:left w:val="single" w:sz="2" w:space="0" w:color="FFFFFF"/>
          <w:bottom w:val="single" w:sz="2" w:space="0" w:color="FFFFFF"/>
          <w:right w:val="single" w:sz="2" w:space="4" w:color="FFFFFF"/>
        </w:pBdr>
        <w:tabs>
          <w:tab w:val="clear" w:pos="567"/>
        </w:tabs>
        <w:spacing w:after="0" w:line="240" w:lineRule="auto"/>
        <w:jc w:val="both"/>
        <w:rPr>
          <w:rFonts w:ascii="Arial" w:hAnsi="Arial" w:cs="Arial"/>
          <w:szCs w:val="16"/>
        </w:rPr>
      </w:pPr>
      <w:r w:rsidRPr="007A691D">
        <w:rPr>
          <w:rFonts w:ascii="Arial" w:hAnsi="Arial" w:cs="Arial"/>
          <w:szCs w:val="16"/>
        </w:rPr>
        <w:t>In preparing the MTFS, careful consideration has been given to the assumptions on which both income and expenditure budgets have been based, taking a prudent</w:t>
      </w:r>
      <w:r w:rsidRPr="001F211C">
        <w:rPr>
          <w:rFonts w:ascii="Arial" w:hAnsi="Arial" w:cs="Arial"/>
          <w:szCs w:val="16"/>
        </w:rPr>
        <w:t xml:space="preserve"> but realistic view and considering these at a detailed level utilising the best information </w:t>
      </w:r>
      <w:r w:rsidRPr="001F211C">
        <w:rPr>
          <w:rFonts w:ascii="Arial" w:hAnsi="Arial" w:cs="Arial"/>
          <w:szCs w:val="16"/>
        </w:rPr>
        <w:lastRenderedPageBreak/>
        <w:t>available both internally and externally, and consulting with advisors and leading experts across the areas covered.</w:t>
      </w:r>
    </w:p>
    <w:p w14:paraId="444E4C9B" w14:textId="77777777" w:rsidR="00E50260" w:rsidRPr="001F211C" w:rsidRDefault="00E50260" w:rsidP="00E50260">
      <w:pPr>
        <w:pStyle w:val="ListParagraph"/>
        <w:rPr>
          <w:rFonts w:ascii="Arial" w:hAnsi="Arial" w:cs="Arial"/>
          <w:szCs w:val="16"/>
        </w:rPr>
      </w:pPr>
    </w:p>
    <w:p w14:paraId="0ADDBE2A" w14:textId="0FADDA24" w:rsidR="00E50260" w:rsidRPr="00C77EB7" w:rsidRDefault="00E50260" w:rsidP="00E50260">
      <w:pPr>
        <w:pStyle w:val="ListParagraph"/>
        <w:numPr>
          <w:ilvl w:val="0"/>
          <w:numId w:val="10"/>
        </w:numPr>
        <w:pBdr>
          <w:top w:val="single" w:sz="2" w:space="1" w:color="FFFFFF"/>
          <w:left w:val="single" w:sz="2" w:space="0" w:color="FFFFFF"/>
          <w:bottom w:val="single" w:sz="2" w:space="0" w:color="FFFFFF"/>
          <w:right w:val="single" w:sz="2" w:space="4" w:color="FFFFFF"/>
        </w:pBdr>
        <w:tabs>
          <w:tab w:val="clear" w:pos="567"/>
        </w:tabs>
        <w:spacing w:after="0" w:line="240" w:lineRule="auto"/>
        <w:jc w:val="both"/>
        <w:rPr>
          <w:rFonts w:ascii="Arial" w:hAnsi="Arial" w:cs="Arial"/>
          <w:szCs w:val="16"/>
        </w:rPr>
      </w:pPr>
      <w:r w:rsidRPr="00C77EB7">
        <w:rPr>
          <w:rFonts w:ascii="Arial" w:hAnsi="Arial" w:cs="Arial"/>
          <w:szCs w:val="16"/>
        </w:rPr>
        <w:t xml:space="preserve">The key assumptions that underpin the most significant income and expenditure budgets that have been incorporated into the MTFS are detailed below; </w:t>
      </w:r>
    </w:p>
    <w:p w14:paraId="737CCFCD" w14:textId="3C0E62E7" w:rsidR="00E50260" w:rsidRDefault="00E50260" w:rsidP="00E50260">
      <w:pPr>
        <w:pStyle w:val="ListParagraph"/>
        <w:rPr>
          <w:rFonts w:ascii="Arial" w:hAnsi="Arial" w:cs="Arial"/>
          <w:szCs w:val="16"/>
        </w:rPr>
      </w:pPr>
    </w:p>
    <w:p w14:paraId="0EF4FFDA" w14:textId="6808100E" w:rsidR="00E50260" w:rsidRDefault="00E50260" w:rsidP="00E50260">
      <w:pPr>
        <w:pStyle w:val="ListParagraph"/>
        <w:rPr>
          <w:rFonts w:ascii="Arial" w:hAnsi="Arial" w:cs="Arial"/>
          <w:szCs w:val="16"/>
        </w:rPr>
      </w:pPr>
    </w:p>
    <w:p w14:paraId="185CDC54" w14:textId="3D7D43EE" w:rsidR="00E50260" w:rsidRDefault="00E50260" w:rsidP="00E50260">
      <w:pPr>
        <w:pStyle w:val="ListParagraph"/>
        <w:rPr>
          <w:rFonts w:ascii="Arial" w:hAnsi="Arial" w:cs="Arial"/>
          <w:szCs w:val="16"/>
        </w:rPr>
      </w:pPr>
    </w:p>
    <w:p w14:paraId="09A3CAE5" w14:textId="6BAB66F7" w:rsidR="00E50260" w:rsidRDefault="00E50260" w:rsidP="00E50260">
      <w:pPr>
        <w:pStyle w:val="ListParagraph"/>
        <w:rPr>
          <w:rFonts w:ascii="Arial" w:hAnsi="Arial" w:cs="Arial"/>
          <w:szCs w:val="16"/>
        </w:rPr>
      </w:pPr>
    </w:p>
    <w:p w14:paraId="2999FF47" w14:textId="13E30FDA" w:rsidR="00E50260" w:rsidRDefault="00E50260" w:rsidP="00E50260">
      <w:pPr>
        <w:pStyle w:val="ListParagraph"/>
        <w:rPr>
          <w:rFonts w:ascii="Arial" w:hAnsi="Arial" w:cs="Arial"/>
          <w:szCs w:val="16"/>
        </w:rPr>
      </w:pPr>
    </w:p>
    <w:p w14:paraId="08E3D57F" w14:textId="27821E90" w:rsidR="00E50260" w:rsidRDefault="00E50260" w:rsidP="00E50260">
      <w:pPr>
        <w:pStyle w:val="ListParagraph"/>
        <w:rPr>
          <w:rFonts w:ascii="Arial" w:hAnsi="Arial" w:cs="Arial"/>
          <w:szCs w:val="16"/>
        </w:rPr>
      </w:pPr>
    </w:p>
    <w:p w14:paraId="45DB4158" w14:textId="0766AE4E" w:rsidR="00E50260" w:rsidRDefault="00E50260" w:rsidP="00E50260">
      <w:pPr>
        <w:pStyle w:val="ListParagraph"/>
        <w:rPr>
          <w:rFonts w:ascii="Arial" w:hAnsi="Arial" w:cs="Arial"/>
          <w:szCs w:val="16"/>
        </w:rPr>
      </w:pPr>
    </w:p>
    <w:p w14:paraId="093997F1" w14:textId="0186B579" w:rsidR="00E50260" w:rsidRDefault="00E50260" w:rsidP="00E50260">
      <w:pPr>
        <w:pStyle w:val="ListParagraph"/>
        <w:rPr>
          <w:rFonts w:ascii="Arial" w:hAnsi="Arial" w:cs="Arial"/>
          <w:szCs w:val="16"/>
        </w:rPr>
      </w:pPr>
    </w:p>
    <w:p w14:paraId="27EC89EC" w14:textId="3873E798" w:rsidR="00E50260" w:rsidRDefault="00E50260" w:rsidP="00E50260">
      <w:pPr>
        <w:pStyle w:val="ListParagraph"/>
        <w:rPr>
          <w:rFonts w:ascii="Arial" w:hAnsi="Arial" w:cs="Arial"/>
          <w:szCs w:val="16"/>
        </w:rPr>
      </w:pPr>
    </w:p>
    <w:p w14:paraId="518894C9" w14:textId="7FC0CE03" w:rsidR="00E50260" w:rsidRDefault="00E50260" w:rsidP="00E50260">
      <w:pPr>
        <w:pStyle w:val="ListParagraph"/>
        <w:rPr>
          <w:rFonts w:ascii="Arial" w:hAnsi="Arial" w:cs="Arial"/>
          <w:szCs w:val="16"/>
        </w:rPr>
      </w:pPr>
    </w:p>
    <w:p w14:paraId="22AC57FB" w14:textId="48B7FAA5" w:rsidR="00E50260" w:rsidRDefault="00E50260" w:rsidP="00E50260">
      <w:pPr>
        <w:pStyle w:val="ListParagraph"/>
        <w:rPr>
          <w:rFonts w:ascii="Arial" w:hAnsi="Arial" w:cs="Arial"/>
          <w:szCs w:val="16"/>
        </w:rPr>
      </w:pPr>
    </w:p>
    <w:p w14:paraId="55176A33" w14:textId="7E5213B2" w:rsidR="00E50260" w:rsidRDefault="00E50260" w:rsidP="00E50260">
      <w:pPr>
        <w:pStyle w:val="ListParagraph"/>
        <w:rPr>
          <w:rFonts w:ascii="Arial" w:hAnsi="Arial" w:cs="Arial"/>
          <w:szCs w:val="16"/>
        </w:rPr>
      </w:pPr>
    </w:p>
    <w:p w14:paraId="2DCA8675" w14:textId="4D94F478" w:rsidR="00E50260" w:rsidRDefault="00E50260" w:rsidP="00E50260">
      <w:pPr>
        <w:pStyle w:val="ListParagraph"/>
        <w:rPr>
          <w:rFonts w:ascii="Arial" w:hAnsi="Arial" w:cs="Arial"/>
          <w:szCs w:val="16"/>
        </w:rPr>
      </w:pPr>
    </w:p>
    <w:p w14:paraId="667381BF" w14:textId="78457AA3" w:rsidR="00E50260" w:rsidRDefault="00E50260" w:rsidP="00E50260">
      <w:pPr>
        <w:pStyle w:val="ListParagraph"/>
        <w:rPr>
          <w:rFonts w:ascii="Arial" w:hAnsi="Arial" w:cs="Arial"/>
          <w:szCs w:val="16"/>
        </w:rPr>
      </w:pPr>
    </w:p>
    <w:p w14:paraId="1C7EC1E4" w14:textId="45E11946" w:rsidR="00E50260" w:rsidRDefault="00E50260" w:rsidP="00E50260">
      <w:pPr>
        <w:pStyle w:val="ListParagraph"/>
        <w:rPr>
          <w:rFonts w:ascii="Arial" w:hAnsi="Arial" w:cs="Arial"/>
          <w:szCs w:val="16"/>
        </w:rPr>
      </w:pPr>
    </w:p>
    <w:p w14:paraId="67937D46" w14:textId="2039E762" w:rsidR="00E50260" w:rsidRDefault="00E50260" w:rsidP="00E50260">
      <w:pPr>
        <w:pStyle w:val="ListParagraph"/>
        <w:rPr>
          <w:rFonts w:ascii="Arial" w:hAnsi="Arial" w:cs="Arial"/>
          <w:szCs w:val="16"/>
        </w:rPr>
      </w:pPr>
    </w:p>
    <w:p w14:paraId="686E653A" w14:textId="6E2E5EF9" w:rsidR="00E50260" w:rsidRDefault="00E50260" w:rsidP="00E50260">
      <w:pPr>
        <w:pStyle w:val="ListParagraph"/>
        <w:rPr>
          <w:rFonts w:ascii="Arial" w:hAnsi="Arial" w:cs="Arial"/>
          <w:szCs w:val="16"/>
        </w:rPr>
      </w:pPr>
    </w:p>
    <w:p w14:paraId="03FE6ECC" w14:textId="52ED30CB" w:rsidR="00E50260" w:rsidRDefault="00E50260" w:rsidP="00E50260">
      <w:pPr>
        <w:pStyle w:val="ListParagraph"/>
        <w:rPr>
          <w:rFonts w:ascii="Arial" w:hAnsi="Arial" w:cs="Arial"/>
          <w:szCs w:val="16"/>
        </w:rPr>
      </w:pPr>
    </w:p>
    <w:p w14:paraId="7075CDC9" w14:textId="72648364" w:rsidR="00E50260" w:rsidRDefault="00E50260" w:rsidP="00E50260">
      <w:pPr>
        <w:pStyle w:val="ListParagraph"/>
        <w:rPr>
          <w:rFonts w:ascii="Arial" w:hAnsi="Arial" w:cs="Arial"/>
          <w:szCs w:val="16"/>
        </w:rPr>
      </w:pPr>
    </w:p>
    <w:p w14:paraId="15117869" w14:textId="5A4508F8" w:rsidR="00E50260" w:rsidRDefault="00E50260" w:rsidP="00E50260">
      <w:pPr>
        <w:pStyle w:val="ListParagraph"/>
        <w:rPr>
          <w:rFonts w:ascii="Arial" w:hAnsi="Arial" w:cs="Arial"/>
          <w:szCs w:val="16"/>
        </w:rPr>
      </w:pPr>
    </w:p>
    <w:p w14:paraId="2575EE1C" w14:textId="383C5DBF" w:rsidR="00E50260" w:rsidRDefault="00E50260" w:rsidP="00E50260">
      <w:pPr>
        <w:pStyle w:val="ListParagraph"/>
        <w:rPr>
          <w:rFonts w:ascii="Arial" w:hAnsi="Arial" w:cs="Arial"/>
          <w:szCs w:val="16"/>
        </w:rPr>
      </w:pPr>
    </w:p>
    <w:p w14:paraId="7EE53D5A" w14:textId="3B6FA526" w:rsidR="00E50260" w:rsidRDefault="00E50260" w:rsidP="00E50260">
      <w:pPr>
        <w:pStyle w:val="ListParagraph"/>
        <w:rPr>
          <w:rFonts w:ascii="Arial" w:hAnsi="Arial" w:cs="Arial"/>
          <w:szCs w:val="16"/>
        </w:rPr>
      </w:pPr>
    </w:p>
    <w:p w14:paraId="451F7B98" w14:textId="63D5596C" w:rsidR="00E50260" w:rsidRDefault="00E50260" w:rsidP="00E50260">
      <w:pPr>
        <w:pStyle w:val="ListParagraph"/>
        <w:rPr>
          <w:rFonts w:ascii="Arial" w:hAnsi="Arial" w:cs="Arial"/>
          <w:szCs w:val="16"/>
        </w:rPr>
      </w:pPr>
    </w:p>
    <w:p w14:paraId="0AD470F5" w14:textId="12FE2FFD" w:rsidR="00E50260" w:rsidRDefault="00E50260" w:rsidP="00E50260">
      <w:pPr>
        <w:pStyle w:val="ListParagraph"/>
        <w:rPr>
          <w:rFonts w:ascii="Arial" w:hAnsi="Arial" w:cs="Arial"/>
          <w:szCs w:val="16"/>
        </w:rPr>
      </w:pPr>
    </w:p>
    <w:p w14:paraId="4BE91A68" w14:textId="77777777" w:rsidR="000276ED" w:rsidRDefault="000276ED" w:rsidP="00E50260">
      <w:pPr>
        <w:pStyle w:val="ListParagraph"/>
        <w:rPr>
          <w:rFonts w:ascii="Arial" w:hAnsi="Arial" w:cs="Arial"/>
          <w:szCs w:val="16"/>
        </w:rPr>
        <w:sectPr w:rsidR="000276ED" w:rsidSect="003E3AB0">
          <w:footerReference w:type="default" r:id="rId10"/>
          <w:pgSz w:w="11906" w:h="16838"/>
          <w:pgMar w:top="1440" w:right="1440" w:bottom="1440" w:left="1440" w:header="708" w:footer="708" w:gutter="0"/>
          <w:cols w:space="708"/>
          <w:titlePg/>
          <w:docGrid w:linePitch="360"/>
        </w:sectPr>
      </w:pPr>
    </w:p>
    <w:p w14:paraId="614F8056" w14:textId="77777777" w:rsidR="000276ED" w:rsidRDefault="000276ED" w:rsidP="000276ED">
      <w:pPr>
        <w:pStyle w:val="Heading1"/>
        <w:rPr>
          <w:rFonts w:ascii="Arial" w:hAnsi="Arial" w:cs="Arial"/>
          <w:szCs w:val="22"/>
        </w:rPr>
      </w:pPr>
      <w:bookmarkStart w:id="0" w:name="_Toc505778383"/>
    </w:p>
    <w:p w14:paraId="48A6DB53" w14:textId="3200BC95" w:rsidR="000276ED" w:rsidRPr="00C72033" w:rsidRDefault="000276ED" w:rsidP="000276ED">
      <w:pPr>
        <w:pStyle w:val="Heading1"/>
        <w:rPr>
          <w:rFonts w:ascii="Arial" w:hAnsi="Arial" w:cs="Arial"/>
          <w:sz w:val="22"/>
          <w:szCs w:val="22"/>
        </w:rPr>
      </w:pPr>
      <w:r w:rsidRPr="00DA4180">
        <w:rPr>
          <w:rFonts w:ascii="Arial" w:hAnsi="Arial" w:cs="Arial"/>
          <w:szCs w:val="22"/>
        </w:rPr>
        <w:t>GENERAL FUND FORECAST ASSUMPTIONS</w:t>
      </w:r>
      <w:bookmarkEnd w:id="0"/>
      <w:r w:rsidRPr="00DA4180">
        <w:rPr>
          <w:rFonts w:ascii="Arial" w:hAnsi="Arial" w:cs="Arial"/>
          <w:szCs w:val="22"/>
        </w:rPr>
        <w:t xml:space="preserve"> </w:t>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r w:rsidRPr="00C72033">
        <w:rPr>
          <w:rFonts w:ascii="Arial" w:hAnsi="Arial" w:cs="Arial"/>
          <w:sz w:val="22"/>
          <w:szCs w:val="22"/>
        </w:rPr>
        <w:tab/>
      </w:r>
    </w:p>
    <w:p w14:paraId="4438ED4C" w14:textId="77777777" w:rsidR="000276ED" w:rsidRPr="0034228D" w:rsidRDefault="000276ED" w:rsidP="000276ED">
      <w:pPr>
        <w:spacing w:after="0"/>
        <w:rPr>
          <w:rFonts w:ascii="Arial" w:hAnsi="Arial" w:cs="Arial"/>
          <w:sz w:val="12"/>
          <w:szCs w:val="12"/>
        </w:rPr>
      </w:pPr>
    </w:p>
    <w:p w14:paraId="56F456E6" w14:textId="61BF7F27" w:rsidR="000276ED" w:rsidRPr="00C72033" w:rsidRDefault="000276ED" w:rsidP="000276ED">
      <w:pPr>
        <w:spacing w:after="0"/>
        <w:jc w:val="both"/>
        <w:rPr>
          <w:rFonts w:ascii="Arial" w:eastAsiaTheme="majorEastAsia" w:hAnsi="Arial" w:cs="Arial"/>
          <w:bCs/>
        </w:rPr>
      </w:pPr>
      <w:r w:rsidRPr="00C72033">
        <w:rPr>
          <w:rFonts w:ascii="Arial" w:eastAsiaTheme="majorEastAsia" w:hAnsi="Arial" w:cs="Arial"/>
          <w:bCs/>
        </w:rPr>
        <w:t xml:space="preserve">The following </w:t>
      </w:r>
      <w:r w:rsidRPr="00BC0817">
        <w:rPr>
          <w:rFonts w:ascii="Arial" w:eastAsiaTheme="majorEastAsia" w:hAnsi="Arial" w:cs="Arial"/>
          <w:bCs/>
        </w:rPr>
        <w:t>assumptions have been made as part of reporting a</w:t>
      </w:r>
      <w:r>
        <w:rPr>
          <w:rFonts w:ascii="Arial" w:eastAsiaTheme="majorEastAsia" w:hAnsi="Arial" w:cs="Arial"/>
          <w:bCs/>
        </w:rPr>
        <w:t xml:space="preserve"> balanced budget in </w:t>
      </w:r>
      <w:r w:rsidRPr="008579B5">
        <w:rPr>
          <w:rFonts w:ascii="Arial" w:eastAsiaTheme="majorEastAsia" w:hAnsi="Arial" w:cs="Arial"/>
          <w:bCs/>
        </w:rPr>
        <w:t xml:space="preserve">2022/23 </w:t>
      </w:r>
      <w:r w:rsidRPr="008579B5">
        <w:rPr>
          <w:rFonts w:ascii="Arial" w:eastAsiaTheme="majorEastAsia" w:hAnsi="Arial" w:cs="Arial"/>
          <w:bCs/>
          <w:u w:val="single"/>
        </w:rPr>
        <w:t>gross deficit</w:t>
      </w:r>
      <w:r w:rsidRPr="008579B5">
        <w:rPr>
          <w:rFonts w:ascii="Arial" w:eastAsiaTheme="majorEastAsia" w:hAnsi="Arial" w:cs="Arial"/>
          <w:bCs/>
        </w:rPr>
        <w:t xml:space="preserve"> of £</w:t>
      </w:r>
      <w:r w:rsidR="008579B5" w:rsidRPr="008579B5">
        <w:rPr>
          <w:rFonts w:ascii="Arial" w:eastAsiaTheme="majorEastAsia" w:hAnsi="Arial" w:cs="Arial"/>
          <w:bCs/>
        </w:rPr>
        <w:t>0</w:t>
      </w:r>
      <w:r w:rsidRPr="008579B5">
        <w:rPr>
          <w:rFonts w:ascii="Arial" w:eastAsiaTheme="majorEastAsia" w:hAnsi="Arial" w:cs="Arial"/>
          <w:bCs/>
        </w:rPr>
        <w:t>.</w:t>
      </w:r>
      <w:r w:rsidR="008579B5" w:rsidRPr="008579B5">
        <w:rPr>
          <w:rFonts w:ascii="Arial" w:eastAsiaTheme="majorEastAsia" w:hAnsi="Arial" w:cs="Arial"/>
          <w:bCs/>
        </w:rPr>
        <w:t>619</w:t>
      </w:r>
      <w:r w:rsidRPr="008579B5">
        <w:rPr>
          <w:rFonts w:ascii="Arial" w:eastAsiaTheme="majorEastAsia" w:hAnsi="Arial" w:cs="Arial"/>
          <w:bCs/>
        </w:rPr>
        <w:t>m in 2023/24 and reporting a gross deficit of £</w:t>
      </w:r>
      <w:r w:rsidR="008579B5" w:rsidRPr="008579B5">
        <w:rPr>
          <w:rFonts w:ascii="Arial" w:eastAsiaTheme="majorEastAsia" w:hAnsi="Arial" w:cs="Arial"/>
          <w:bCs/>
        </w:rPr>
        <w:t>0.732</w:t>
      </w:r>
      <w:r w:rsidRPr="008579B5">
        <w:rPr>
          <w:rFonts w:ascii="Arial" w:eastAsiaTheme="majorEastAsia" w:hAnsi="Arial" w:cs="Arial"/>
          <w:bCs/>
        </w:rPr>
        <w:t>m in 2024/25.</w:t>
      </w:r>
    </w:p>
    <w:p w14:paraId="76B68AAC" w14:textId="77777777" w:rsidR="000276ED" w:rsidRPr="0034228D" w:rsidRDefault="000276ED" w:rsidP="000276ED">
      <w:pPr>
        <w:spacing w:after="0"/>
        <w:jc w:val="both"/>
        <w:rPr>
          <w:rFonts w:ascii="Arial" w:hAnsi="Arial" w:cs="Arial"/>
          <w:caps/>
          <w:sz w:val="14"/>
          <w:szCs w:val="14"/>
        </w:rPr>
      </w:pPr>
    </w:p>
    <w:tbl>
      <w:tblPr>
        <w:tblStyle w:val="TableGrid"/>
        <w:tblW w:w="14850" w:type="dxa"/>
        <w:tblLook w:val="04A0" w:firstRow="1" w:lastRow="0" w:firstColumn="1" w:lastColumn="0" w:noHBand="0" w:noVBand="1"/>
      </w:tblPr>
      <w:tblGrid>
        <w:gridCol w:w="4342"/>
        <w:gridCol w:w="1482"/>
        <w:gridCol w:w="1415"/>
        <w:gridCol w:w="1274"/>
        <w:gridCol w:w="6337"/>
      </w:tblGrid>
      <w:tr w:rsidR="008579B5" w:rsidRPr="00C72033" w14:paraId="5027A6BF" w14:textId="77777777" w:rsidTr="00F5519C">
        <w:trPr>
          <w:trHeight w:val="454"/>
          <w:tblHeader/>
        </w:trPr>
        <w:tc>
          <w:tcPr>
            <w:tcW w:w="4342" w:type="dxa"/>
            <w:tcBorders>
              <w:bottom w:val="single" w:sz="4" w:space="0" w:color="auto"/>
            </w:tcBorders>
            <w:shd w:val="clear" w:color="auto" w:fill="548DD4" w:themeFill="text2" w:themeFillTint="99"/>
            <w:vAlign w:val="center"/>
          </w:tcPr>
          <w:p w14:paraId="53F2CF83"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Key Assumption</w:t>
            </w:r>
          </w:p>
        </w:tc>
        <w:tc>
          <w:tcPr>
            <w:tcW w:w="1482" w:type="dxa"/>
            <w:tcBorders>
              <w:bottom w:val="single" w:sz="4" w:space="0" w:color="auto"/>
            </w:tcBorders>
            <w:shd w:val="clear" w:color="auto" w:fill="548DD4" w:themeFill="text2" w:themeFillTint="99"/>
            <w:vAlign w:val="center"/>
          </w:tcPr>
          <w:p w14:paraId="250FA524"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2</w:t>
            </w:r>
            <w:r>
              <w:rPr>
                <w:rFonts w:ascii="Arial" w:hAnsi="Arial" w:cs="Arial"/>
                <w:b/>
                <w:color w:val="FFFFFF" w:themeColor="background1"/>
              </w:rPr>
              <w:t>2</w:t>
            </w:r>
            <w:r w:rsidRPr="00C72033">
              <w:rPr>
                <w:rFonts w:ascii="Arial" w:hAnsi="Arial" w:cs="Arial"/>
                <w:b/>
                <w:color w:val="FFFFFF" w:themeColor="background1"/>
              </w:rPr>
              <w:t>/2</w:t>
            </w:r>
            <w:r>
              <w:rPr>
                <w:rFonts w:ascii="Arial" w:hAnsi="Arial" w:cs="Arial"/>
                <w:b/>
                <w:color w:val="FFFFFF" w:themeColor="background1"/>
              </w:rPr>
              <w:t>3</w:t>
            </w:r>
          </w:p>
        </w:tc>
        <w:tc>
          <w:tcPr>
            <w:tcW w:w="1415" w:type="dxa"/>
            <w:tcBorders>
              <w:bottom w:val="single" w:sz="4" w:space="0" w:color="auto"/>
            </w:tcBorders>
            <w:shd w:val="clear" w:color="auto" w:fill="548DD4" w:themeFill="text2" w:themeFillTint="99"/>
            <w:vAlign w:val="center"/>
          </w:tcPr>
          <w:p w14:paraId="643F13AB"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2</w:t>
            </w:r>
            <w:r>
              <w:rPr>
                <w:rFonts w:ascii="Arial" w:hAnsi="Arial" w:cs="Arial"/>
                <w:b/>
                <w:color w:val="FFFFFF" w:themeColor="background1"/>
              </w:rPr>
              <w:t>3</w:t>
            </w:r>
            <w:r w:rsidRPr="00C72033">
              <w:rPr>
                <w:rFonts w:ascii="Arial" w:hAnsi="Arial" w:cs="Arial"/>
                <w:b/>
                <w:color w:val="FFFFFF" w:themeColor="background1"/>
              </w:rPr>
              <w:t>/2</w:t>
            </w:r>
            <w:r>
              <w:rPr>
                <w:rFonts w:ascii="Arial" w:hAnsi="Arial" w:cs="Arial"/>
                <w:b/>
                <w:color w:val="FFFFFF" w:themeColor="background1"/>
              </w:rPr>
              <w:t>4</w:t>
            </w:r>
          </w:p>
        </w:tc>
        <w:tc>
          <w:tcPr>
            <w:tcW w:w="1274" w:type="dxa"/>
            <w:tcBorders>
              <w:bottom w:val="single" w:sz="4" w:space="0" w:color="auto"/>
            </w:tcBorders>
            <w:shd w:val="clear" w:color="auto" w:fill="548DD4" w:themeFill="text2" w:themeFillTint="99"/>
            <w:vAlign w:val="center"/>
          </w:tcPr>
          <w:p w14:paraId="62E26CCC"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2</w:t>
            </w:r>
            <w:r>
              <w:rPr>
                <w:rFonts w:ascii="Arial" w:hAnsi="Arial" w:cs="Arial"/>
                <w:b/>
                <w:color w:val="FFFFFF" w:themeColor="background1"/>
              </w:rPr>
              <w:t>4</w:t>
            </w:r>
            <w:r w:rsidRPr="00C72033">
              <w:rPr>
                <w:rFonts w:ascii="Arial" w:hAnsi="Arial" w:cs="Arial"/>
                <w:b/>
                <w:color w:val="FFFFFF" w:themeColor="background1"/>
              </w:rPr>
              <w:t>/2</w:t>
            </w:r>
            <w:r>
              <w:rPr>
                <w:rFonts w:ascii="Arial" w:hAnsi="Arial" w:cs="Arial"/>
                <w:b/>
                <w:color w:val="FFFFFF" w:themeColor="background1"/>
              </w:rPr>
              <w:t>5</w:t>
            </w:r>
          </w:p>
        </w:tc>
        <w:tc>
          <w:tcPr>
            <w:tcW w:w="6337" w:type="dxa"/>
            <w:tcBorders>
              <w:bottom w:val="single" w:sz="4" w:space="0" w:color="auto"/>
            </w:tcBorders>
            <w:shd w:val="clear" w:color="auto" w:fill="548DD4" w:themeFill="text2" w:themeFillTint="99"/>
            <w:vAlign w:val="center"/>
          </w:tcPr>
          <w:p w14:paraId="2374BA9C"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Comment</w:t>
            </w:r>
          </w:p>
        </w:tc>
      </w:tr>
      <w:tr w:rsidR="008579B5" w:rsidRPr="00C72033" w14:paraId="6B4780B4" w14:textId="77777777" w:rsidTr="000276ED">
        <w:trPr>
          <w:trHeight w:val="340"/>
        </w:trPr>
        <w:tc>
          <w:tcPr>
            <w:tcW w:w="4342" w:type="dxa"/>
            <w:tcBorders>
              <w:left w:val="nil"/>
              <w:right w:val="nil"/>
            </w:tcBorders>
            <w:vAlign w:val="center"/>
          </w:tcPr>
          <w:p w14:paraId="1C34D072" w14:textId="77777777" w:rsidR="000276ED" w:rsidRPr="0034228D" w:rsidRDefault="000276ED" w:rsidP="000276ED">
            <w:pPr>
              <w:rPr>
                <w:rFonts w:ascii="Arial" w:hAnsi="Arial" w:cs="Arial"/>
                <w:sz w:val="14"/>
                <w:szCs w:val="14"/>
                <w:u w:val="single"/>
                <w:lang w:eastAsia="en-GB"/>
              </w:rPr>
            </w:pPr>
          </w:p>
          <w:p w14:paraId="312D5DD6" w14:textId="77777777" w:rsidR="000276ED" w:rsidRPr="00031B94" w:rsidRDefault="000276ED" w:rsidP="000276ED">
            <w:pPr>
              <w:rPr>
                <w:rFonts w:ascii="Arial" w:hAnsi="Arial" w:cs="Arial"/>
                <w:b/>
                <w:bCs/>
                <w:u w:val="single"/>
                <w:lang w:eastAsia="en-GB"/>
              </w:rPr>
            </w:pPr>
            <w:r w:rsidRPr="00031B94">
              <w:rPr>
                <w:rFonts w:ascii="Arial" w:hAnsi="Arial" w:cs="Arial"/>
                <w:b/>
                <w:bCs/>
                <w:u w:val="single"/>
                <w:lang w:eastAsia="en-GB"/>
              </w:rPr>
              <w:t>INCOME/FUNDING</w:t>
            </w:r>
          </w:p>
          <w:p w14:paraId="3475ABF7" w14:textId="77777777" w:rsidR="000276ED" w:rsidRPr="003423F9" w:rsidRDefault="000276ED" w:rsidP="000276ED">
            <w:pPr>
              <w:rPr>
                <w:rFonts w:ascii="Arial" w:hAnsi="Arial" w:cs="Arial"/>
                <w:sz w:val="10"/>
                <w:u w:val="single"/>
                <w:lang w:eastAsia="en-GB"/>
              </w:rPr>
            </w:pPr>
          </w:p>
        </w:tc>
        <w:tc>
          <w:tcPr>
            <w:tcW w:w="1482" w:type="dxa"/>
            <w:tcBorders>
              <w:left w:val="nil"/>
              <w:right w:val="nil"/>
            </w:tcBorders>
            <w:vAlign w:val="center"/>
          </w:tcPr>
          <w:p w14:paraId="2152F8AD" w14:textId="77777777" w:rsidR="000276ED" w:rsidRPr="00C72033" w:rsidRDefault="000276ED" w:rsidP="000276ED">
            <w:pPr>
              <w:jc w:val="right"/>
              <w:rPr>
                <w:rFonts w:ascii="Arial" w:hAnsi="Arial" w:cs="Arial"/>
              </w:rPr>
            </w:pPr>
          </w:p>
        </w:tc>
        <w:tc>
          <w:tcPr>
            <w:tcW w:w="1415" w:type="dxa"/>
            <w:tcBorders>
              <w:left w:val="nil"/>
              <w:right w:val="nil"/>
            </w:tcBorders>
            <w:vAlign w:val="center"/>
          </w:tcPr>
          <w:p w14:paraId="071AC571" w14:textId="77777777" w:rsidR="000276ED" w:rsidRPr="00C72033" w:rsidRDefault="000276ED" w:rsidP="000276ED">
            <w:pPr>
              <w:jc w:val="right"/>
              <w:rPr>
                <w:rFonts w:ascii="Arial" w:hAnsi="Arial" w:cs="Arial"/>
              </w:rPr>
            </w:pPr>
          </w:p>
        </w:tc>
        <w:tc>
          <w:tcPr>
            <w:tcW w:w="1274" w:type="dxa"/>
            <w:tcBorders>
              <w:left w:val="nil"/>
              <w:right w:val="nil"/>
            </w:tcBorders>
            <w:vAlign w:val="center"/>
          </w:tcPr>
          <w:p w14:paraId="29152332" w14:textId="77777777" w:rsidR="000276ED" w:rsidRPr="00C72033" w:rsidRDefault="000276ED" w:rsidP="000276ED">
            <w:pPr>
              <w:jc w:val="right"/>
              <w:rPr>
                <w:rFonts w:ascii="Arial" w:hAnsi="Arial" w:cs="Arial"/>
              </w:rPr>
            </w:pPr>
          </w:p>
        </w:tc>
        <w:tc>
          <w:tcPr>
            <w:tcW w:w="6337" w:type="dxa"/>
            <w:tcBorders>
              <w:left w:val="nil"/>
              <w:right w:val="nil"/>
            </w:tcBorders>
            <w:vAlign w:val="center"/>
          </w:tcPr>
          <w:p w14:paraId="2AF3EFE9" w14:textId="77777777" w:rsidR="000276ED" w:rsidRPr="00C72033" w:rsidRDefault="000276ED" w:rsidP="000276ED">
            <w:pPr>
              <w:rPr>
                <w:rFonts w:ascii="Arial" w:hAnsi="Arial" w:cs="Arial"/>
              </w:rPr>
            </w:pPr>
          </w:p>
        </w:tc>
      </w:tr>
      <w:tr w:rsidR="008579B5" w:rsidRPr="00C72033" w14:paraId="38EF1324" w14:textId="77777777" w:rsidTr="000276ED">
        <w:trPr>
          <w:trHeight w:val="454"/>
        </w:trPr>
        <w:tc>
          <w:tcPr>
            <w:tcW w:w="4342" w:type="dxa"/>
            <w:vAlign w:val="center"/>
          </w:tcPr>
          <w:p w14:paraId="31216909" w14:textId="77777777" w:rsidR="000276ED" w:rsidRPr="00C72033" w:rsidRDefault="000276ED" w:rsidP="000276ED">
            <w:pPr>
              <w:rPr>
                <w:rFonts w:ascii="Arial" w:hAnsi="Arial" w:cs="Arial"/>
                <w:lang w:eastAsia="en-GB"/>
              </w:rPr>
            </w:pPr>
            <w:r w:rsidRPr="00C72033">
              <w:rPr>
                <w:rFonts w:ascii="Arial" w:hAnsi="Arial" w:cs="Arial"/>
                <w:lang w:eastAsia="en-GB"/>
              </w:rPr>
              <w:t>Increase in Council Tax</w:t>
            </w:r>
          </w:p>
        </w:tc>
        <w:tc>
          <w:tcPr>
            <w:tcW w:w="1482" w:type="dxa"/>
            <w:vAlign w:val="center"/>
          </w:tcPr>
          <w:p w14:paraId="69C74A9F" w14:textId="05C3D746" w:rsidR="000276ED" w:rsidRPr="003E1A16" w:rsidRDefault="009C7DF1" w:rsidP="000276ED">
            <w:pPr>
              <w:jc w:val="right"/>
              <w:rPr>
                <w:rFonts w:ascii="Arial" w:hAnsi="Arial" w:cs="Arial"/>
              </w:rPr>
            </w:pPr>
            <w:r>
              <w:rPr>
                <w:rFonts w:ascii="Arial" w:hAnsi="Arial" w:cs="Arial"/>
              </w:rPr>
              <w:t>0.00</w:t>
            </w:r>
            <w:r w:rsidR="000276ED" w:rsidRPr="003E1A16">
              <w:rPr>
                <w:rFonts w:ascii="Arial" w:hAnsi="Arial" w:cs="Arial"/>
              </w:rPr>
              <w:t>%</w:t>
            </w:r>
          </w:p>
        </w:tc>
        <w:tc>
          <w:tcPr>
            <w:tcW w:w="1415" w:type="dxa"/>
            <w:vAlign w:val="center"/>
          </w:tcPr>
          <w:p w14:paraId="1D869320" w14:textId="0B2D86E7" w:rsidR="000276ED" w:rsidRPr="003E1A16" w:rsidRDefault="009C7DF1" w:rsidP="000276ED">
            <w:pPr>
              <w:jc w:val="right"/>
              <w:rPr>
                <w:rFonts w:ascii="Arial" w:hAnsi="Arial" w:cs="Arial"/>
              </w:rPr>
            </w:pPr>
            <w:r>
              <w:rPr>
                <w:rFonts w:ascii="Arial" w:hAnsi="Arial" w:cs="Arial"/>
              </w:rPr>
              <w:t>0.00</w:t>
            </w:r>
            <w:r w:rsidR="000276ED" w:rsidRPr="003E1A16">
              <w:rPr>
                <w:rFonts w:ascii="Arial" w:hAnsi="Arial" w:cs="Arial"/>
              </w:rPr>
              <w:t>%</w:t>
            </w:r>
          </w:p>
        </w:tc>
        <w:tc>
          <w:tcPr>
            <w:tcW w:w="1274" w:type="dxa"/>
            <w:vAlign w:val="center"/>
          </w:tcPr>
          <w:p w14:paraId="4EC6F28A" w14:textId="77777777" w:rsidR="000276ED" w:rsidRPr="003E1A16" w:rsidRDefault="000276ED" w:rsidP="000276ED">
            <w:pPr>
              <w:jc w:val="right"/>
              <w:rPr>
                <w:rFonts w:ascii="Arial" w:hAnsi="Arial" w:cs="Arial"/>
              </w:rPr>
            </w:pPr>
            <w:r>
              <w:rPr>
                <w:rFonts w:ascii="Arial" w:hAnsi="Arial" w:cs="Arial"/>
              </w:rPr>
              <w:t>1.99</w:t>
            </w:r>
            <w:r w:rsidRPr="003E1A16">
              <w:rPr>
                <w:rFonts w:ascii="Arial" w:hAnsi="Arial" w:cs="Arial"/>
              </w:rPr>
              <w:t>%</w:t>
            </w:r>
          </w:p>
        </w:tc>
        <w:tc>
          <w:tcPr>
            <w:tcW w:w="6337" w:type="dxa"/>
            <w:vAlign w:val="center"/>
          </w:tcPr>
          <w:p w14:paraId="41536FA6" w14:textId="7D30DBE4" w:rsidR="000276ED" w:rsidRPr="00C72033" w:rsidRDefault="000276ED" w:rsidP="000276ED">
            <w:pPr>
              <w:jc w:val="both"/>
              <w:rPr>
                <w:rFonts w:ascii="Arial" w:hAnsi="Arial" w:cs="Arial"/>
              </w:rPr>
            </w:pPr>
            <w:r w:rsidRPr="005749EA">
              <w:rPr>
                <w:rFonts w:ascii="Arial" w:hAnsi="Arial" w:cs="Arial"/>
                <w:iCs/>
              </w:rPr>
              <w:t xml:space="preserve">The MTFS assumes that Council Tax will </w:t>
            </w:r>
            <w:r w:rsidR="009C7DF1" w:rsidRPr="009C7DF1">
              <w:rPr>
                <w:rFonts w:ascii="Arial" w:hAnsi="Arial" w:cs="Arial"/>
                <w:b/>
                <w:bCs/>
                <w:iCs/>
              </w:rPr>
              <w:t>freeze</w:t>
            </w:r>
            <w:r w:rsidRPr="005749EA">
              <w:rPr>
                <w:rFonts w:ascii="Arial" w:hAnsi="Arial" w:cs="Arial"/>
                <w:iCs/>
              </w:rPr>
              <w:t xml:space="preserve"> over the next </w:t>
            </w:r>
            <w:r w:rsidR="009C7DF1">
              <w:rPr>
                <w:rFonts w:ascii="Arial" w:hAnsi="Arial" w:cs="Arial"/>
                <w:iCs/>
              </w:rPr>
              <w:t>two</w:t>
            </w:r>
            <w:r w:rsidRPr="005749EA">
              <w:rPr>
                <w:rFonts w:ascii="Arial" w:hAnsi="Arial" w:cs="Arial"/>
                <w:iCs/>
              </w:rPr>
              <w:t xml:space="preserve"> years</w:t>
            </w:r>
            <w:r w:rsidR="009C7DF1">
              <w:rPr>
                <w:rFonts w:ascii="Arial" w:hAnsi="Arial" w:cs="Arial"/>
                <w:iCs/>
              </w:rPr>
              <w:t xml:space="preserve"> based on current financial forecasts and assumptions regarding funding and costs. H</w:t>
            </w:r>
            <w:r w:rsidRPr="005749EA">
              <w:rPr>
                <w:rFonts w:ascii="Arial" w:hAnsi="Arial" w:cs="Arial"/>
                <w:iCs/>
              </w:rPr>
              <w:t xml:space="preserve">owever </w:t>
            </w:r>
            <w:r w:rsidR="009C7DF1">
              <w:rPr>
                <w:rFonts w:ascii="Arial" w:hAnsi="Arial" w:cs="Arial"/>
                <w:iCs/>
              </w:rPr>
              <w:t xml:space="preserve">given the uncertainty that prevails, we will </w:t>
            </w:r>
            <w:r w:rsidRPr="005749EA">
              <w:rPr>
                <w:rFonts w:ascii="Arial" w:hAnsi="Arial" w:cs="Arial"/>
              </w:rPr>
              <w:t>revisit</w:t>
            </w:r>
            <w:r w:rsidR="009C7DF1">
              <w:rPr>
                <w:rFonts w:ascii="Arial" w:hAnsi="Arial" w:cs="Arial"/>
              </w:rPr>
              <w:t xml:space="preserve"> this </w:t>
            </w:r>
            <w:r w:rsidRPr="005749EA">
              <w:rPr>
                <w:rFonts w:ascii="Arial" w:hAnsi="Arial" w:cs="Arial"/>
              </w:rPr>
              <w:t>each year as part of the budget setting process a</w:t>
            </w:r>
            <w:r w:rsidR="009C7DF1">
              <w:rPr>
                <w:rFonts w:ascii="Arial" w:hAnsi="Arial" w:cs="Arial"/>
              </w:rPr>
              <w:t xml:space="preserve">s the position will be </w:t>
            </w:r>
            <w:r w:rsidRPr="005749EA">
              <w:rPr>
                <w:rFonts w:ascii="Arial" w:hAnsi="Arial" w:cs="Arial"/>
              </w:rPr>
              <w:t xml:space="preserve">dependent on the outcome of the </w:t>
            </w:r>
            <w:r w:rsidR="009C7DF1">
              <w:rPr>
                <w:rFonts w:ascii="Arial" w:hAnsi="Arial" w:cs="Arial"/>
              </w:rPr>
              <w:t>g</w:t>
            </w:r>
            <w:r w:rsidRPr="005749EA">
              <w:rPr>
                <w:rFonts w:ascii="Arial" w:hAnsi="Arial" w:cs="Arial"/>
              </w:rPr>
              <w:t>overnment’s reviews of both the future funding framework and the future distribution of funding between councils as referred to above.</w:t>
            </w:r>
          </w:p>
        </w:tc>
      </w:tr>
      <w:tr w:rsidR="008579B5" w:rsidRPr="00C72033" w14:paraId="3C8E6D37" w14:textId="77777777" w:rsidTr="000276ED">
        <w:trPr>
          <w:trHeight w:val="454"/>
        </w:trPr>
        <w:tc>
          <w:tcPr>
            <w:tcW w:w="4342" w:type="dxa"/>
            <w:vAlign w:val="center"/>
          </w:tcPr>
          <w:p w14:paraId="46BE0BC4" w14:textId="77777777" w:rsidR="000276ED" w:rsidRPr="00D12F3B" w:rsidRDefault="000276ED" w:rsidP="000276ED">
            <w:pPr>
              <w:rPr>
                <w:rFonts w:ascii="Arial" w:hAnsi="Arial" w:cs="Arial"/>
                <w:lang w:eastAsia="en-GB"/>
              </w:rPr>
            </w:pPr>
            <w:r w:rsidRPr="00D12F3B">
              <w:rPr>
                <w:rFonts w:ascii="Arial" w:hAnsi="Arial" w:cs="Arial"/>
                <w:lang w:eastAsia="en-GB"/>
              </w:rPr>
              <w:t xml:space="preserve">Council Tax </w:t>
            </w:r>
            <w:r>
              <w:rPr>
                <w:rFonts w:ascii="Arial" w:hAnsi="Arial" w:cs="Arial"/>
                <w:lang w:eastAsia="en-GB"/>
              </w:rPr>
              <w:t xml:space="preserve">Base </w:t>
            </w:r>
            <w:r w:rsidRPr="00D12F3B">
              <w:rPr>
                <w:rFonts w:ascii="Arial" w:hAnsi="Arial" w:cs="Arial"/>
                <w:lang w:eastAsia="en-GB"/>
              </w:rPr>
              <w:t>Increases</w:t>
            </w:r>
          </w:p>
        </w:tc>
        <w:tc>
          <w:tcPr>
            <w:tcW w:w="1482" w:type="dxa"/>
            <w:vAlign w:val="center"/>
          </w:tcPr>
          <w:p w14:paraId="03D6472F" w14:textId="1CD6AC0F" w:rsidR="000276ED" w:rsidRPr="008579B5" w:rsidRDefault="008579B5" w:rsidP="000276ED">
            <w:pPr>
              <w:jc w:val="right"/>
              <w:rPr>
                <w:rFonts w:ascii="Arial" w:hAnsi="Arial" w:cs="Arial"/>
                <w:lang w:eastAsia="en-GB"/>
              </w:rPr>
            </w:pPr>
            <w:r w:rsidRPr="008579B5">
              <w:rPr>
                <w:rFonts w:ascii="Arial" w:hAnsi="Arial" w:cs="Arial"/>
                <w:lang w:eastAsia="en-GB"/>
              </w:rPr>
              <w:t>0</w:t>
            </w:r>
            <w:r w:rsidR="000276ED" w:rsidRPr="008579B5">
              <w:rPr>
                <w:rFonts w:ascii="Arial" w:hAnsi="Arial" w:cs="Arial"/>
                <w:lang w:eastAsia="en-GB"/>
              </w:rPr>
              <w:t>.</w:t>
            </w:r>
            <w:r w:rsidR="009C7DF1" w:rsidRPr="008579B5">
              <w:rPr>
                <w:rFonts w:ascii="Arial" w:hAnsi="Arial" w:cs="Arial"/>
                <w:lang w:eastAsia="en-GB"/>
              </w:rPr>
              <w:t>00</w:t>
            </w:r>
            <w:r w:rsidR="000276ED" w:rsidRPr="008579B5">
              <w:rPr>
                <w:rFonts w:ascii="Arial" w:hAnsi="Arial" w:cs="Arial"/>
                <w:lang w:eastAsia="en-GB"/>
              </w:rPr>
              <w:t>%</w:t>
            </w:r>
          </w:p>
        </w:tc>
        <w:tc>
          <w:tcPr>
            <w:tcW w:w="1415" w:type="dxa"/>
            <w:vAlign w:val="center"/>
          </w:tcPr>
          <w:p w14:paraId="4E75758B" w14:textId="1F0A5524" w:rsidR="000276ED" w:rsidRPr="008579B5" w:rsidRDefault="008579B5" w:rsidP="000276ED">
            <w:pPr>
              <w:jc w:val="right"/>
              <w:rPr>
                <w:rFonts w:ascii="Arial" w:hAnsi="Arial" w:cs="Arial"/>
                <w:lang w:eastAsia="en-GB"/>
              </w:rPr>
            </w:pPr>
            <w:r w:rsidRPr="008579B5">
              <w:rPr>
                <w:rFonts w:ascii="Arial" w:hAnsi="Arial" w:cs="Arial"/>
                <w:lang w:eastAsia="en-GB"/>
              </w:rPr>
              <w:t>0</w:t>
            </w:r>
            <w:r w:rsidR="000276ED" w:rsidRPr="008579B5">
              <w:rPr>
                <w:rFonts w:ascii="Arial" w:hAnsi="Arial" w:cs="Arial"/>
                <w:lang w:eastAsia="en-GB"/>
              </w:rPr>
              <w:t>.00%</w:t>
            </w:r>
          </w:p>
        </w:tc>
        <w:tc>
          <w:tcPr>
            <w:tcW w:w="1274" w:type="dxa"/>
            <w:vAlign w:val="center"/>
          </w:tcPr>
          <w:p w14:paraId="0B2B3A6E" w14:textId="0C3C4196" w:rsidR="000276ED" w:rsidRPr="008579B5" w:rsidRDefault="008579B5" w:rsidP="000276ED">
            <w:pPr>
              <w:jc w:val="right"/>
              <w:rPr>
                <w:rFonts w:ascii="Arial" w:hAnsi="Arial" w:cs="Arial"/>
                <w:lang w:eastAsia="en-GB"/>
              </w:rPr>
            </w:pPr>
            <w:r w:rsidRPr="008579B5">
              <w:rPr>
                <w:rFonts w:ascii="Arial" w:hAnsi="Arial" w:cs="Arial"/>
                <w:lang w:eastAsia="en-GB"/>
              </w:rPr>
              <w:t>0</w:t>
            </w:r>
            <w:r w:rsidR="000276ED" w:rsidRPr="008579B5">
              <w:rPr>
                <w:rFonts w:ascii="Arial" w:hAnsi="Arial" w:cs="Arial"/>
                <w:lang w:eastAsia="en-GB"/>
              </w:rPr>
              <w:t>.00%</w:t>
            </w:r>
          </w:p>
        </w:tc>
        <w:tc>
          <w:tcPr>
            <w:tcW w:w="6337" w:type="dxa"/>
            <w:vAlign w:val="center"/>
          </w:tcPr>
          <w:p w14:paraId="146D34C7" w14:textId="43C0C935" w:rsidR="000276ED" w:rsidRPr="00C72033" w:rsidRDefault="00F33555" w:rsidP="000276ED">
            <w:pPr>
              <w:jc w:val="both"/>
              <w:rPr>
                <w:rFonts w:ascii="Arial" w:hAnsi="Arial" w:cs="Arial"/>
              </w:rPr>
            </w:pPr>
            <w:r>
              <w:rPr>
                <w:rFonts w:ascii="Arial" w:hAnsi="Arial" w:cs="Arial"/>
                <w:iCs/>
              </w:rPr>
              <w:t>A prudent assumption has been made within the MTFS o</w:t>
            </w:r>
            <w:r w:rsidR="000276ED" w:rsidRPr="00031B94">
              <w:rPr>
                <w:rFonts w:ascii="Arial" w:hAnsi="Arial" w:cs="Arial"/>
                <w:iCs/>
              </w:rPr>
              <w:t xml:space="preserve">f </w:t>
            </w:r>
            <w:r w:rsidR="000276ED">
              <w:rPr>
                <w:rFonts w:ascii="Arial" w:hAnsi="Arial" w:cs="Arial"/>
                <w:iCs/>
              </w:rPr>
              <w:t>g</w:t>
            </w:r>
            <w:r w:rsidR="000276ED" w:rsidRPr="00031B94">
              <w:rPr>
                <w:rFonts w:ascii="Arial" w:hAnsi="Arial" w:cs="Arial"/>
                <w:iCs/>
              </w:rPr>
              <w:t>rowth in the council tax base</w:t>
            </w:r>
            <w:r>
              <w:rPr>
                <w:rFonts w:ascii="Arial" w:hAnsi="Arial" w:cs="Arial"/>
                <w:iCs/>
              </w:rPr>
              <w:t>; this will be kept under review over the course of the year and projections refined, including any associated financial impact.</w:t>
            </w:r>
          </w:p>
        </w:tc>
      </w:tr>
      <w:tr w:rsidR="008579B5" w:rsidRPr="00C72033" w14:paraId="3093B81B" w14:textId="77777777" w:rsidTr="000276ED">
        <w:trPr>
          <w:trHeight w:val="454"/>
        </w:trPr>
        <w:tc>
          <w:tcPr>
            <w:tcW w:w="4342" w:type="dxa"/>
            <w:vAlign w:val="center"/>
          </w:tcPr>
          <w:p w14:paraId="3F00B64A" w14:textId="77777777" w:rsidR="000276ED" w:rsidRPr="00D12F3B" w:rsidRDefault="000276ED" w:rsidP="000276ED">
            <w:pPr>
              <w:rPr>
                <w:rFonts w:ascii="Arial" w:hAnsi="Arial" w:cs="Arial"/>
                <w:lang w:eastAsia="en-GB"/>
              </w:rPr>
            </w:pPr>
            <w:r w:rsidRPr="00D12F3B">
              <w:rPr>
                <w:rFonts w:ascii="Arial" w:hAnsi="Arial" w:cs="Arial"/>
                <w:lang w:eastAsia="en-GB"/>
              </w:rPr>
              <w:t>Increase in Retained Business Rates through Growth</w:t>
            </w:r>
          </w:p>
        </w:tc>
        <w:tc>
          <w:tcPr>
            <w:tcW w:w="1482" w:type="dxa"/>
            <w:vAlign w:val="center"/>
          </w:tcPr>
          <w:p w14:paraId="195E1086" w14:textId="77777777" w:rsidR="000276ED" w:rsidRPr="007A691D" w:rsidRDefault="000276ED" w:rsidP="000276ED">
            <w:pPr>
              <w:jc w:val="right"/>
              <w:rPr>
                <w:rFonts w:ascii="Arial" w:hAnsi="Arial" w:cs="Arial"/>
                <w:lang w:eastAsia="en-GB"/>
              </w:rPr>
            </w:pPr>
            <w:r w:rsidRPr="007A691D">
              <w:rPr>
                <w:rFonts w:ascii="Arial" w:hAnsi="Arial" w:cs="Arial"/>
                <w:lang w:eastAsia="en-GB"/>
              </w:rPr>
              <w:t>0%</w:t>
            </w:r>
          </w:p>
        </w:tc>
        <w:tc>
          <w:tcPr>
            <w:tcW w:w="1415" w:type="dxa"/>
            <w:vAlign w:val="center"/>
          </w:tcPr>
          <w:p w14:paraId="48AC9DC6" w14:textId="77777777" w:rsidR="000276ED" w:rsidRPr="007A691D" w:rsidRDefault="000276ED" w:rsidP="000276ED">
            <w:pPr>
              <w:jc w:val="right"/>
              <w:rPr>
                <w:rFonts w:ascii="Arial" w:hAnsi="Arial" w:cs="Arial"/>
                <w:lang w:eastAsia="en-GB"/>
              </w:rPr>
            </w:pPr>
            <w:r w:rsidRPr="007A691D">
              <w:rPr>
                <w:rFonts w:ascii="Arial" w:hAnsi="Arial" w:cs="Arial"/>
                <w:lang w:eastAsia="en-GB"/>
              </w:rPr>
              <w:t>0%</w:t>
            </w:r>
          </w:p>
        </w:tc>
        <w:tc>
          <w:tcPr>
            <w:tcW w:w="1274" w:type="dxa"/>
            <w:vAlign w:val="center"/>
          </w:tcPr>
          <w:p w14:paraId="212D9E81" w14:textId="77777777" w:rsidR="000276ED" w:rsidRPr="007A691D" w:rsidRDefault="000276ED" w:rsidP="000276ED">
            <w:pPr>
              <w:jc w:val="right"/>
              <w:rPr>
                <w:rFonts w:ascii="Arial" w:hAnsi="Arial" w:cs="Arial"/>
                <w:lang w:eastAsia="en-GB"/>
              </w:rPr>
            </w:pPr>
            <w:r w:rsidRPr="007A691D">
              <w:rPr>
                <w:rFonts w:ascii="Arial" w:hAnsi="Arial" w:cs="Arial"/>
                <w:lang w:eastAsia="en-GB"/>
              </w:rPr>
              <w:t>0%</w:t>
            </w:r>
          </w:p>
        </w:tc>
        <w:tc>
          <w:tcPr>
            <w:tcW w:w="6337" w:type="dxa"/>
            <w:vAlign w:val="center"/>
          </w:tcPr>
          <w:p w14:paraId="6E269214" w14:textId="4D5ECAC0" w:rsidR="000276ED" w:rsidRPr="009838FA" w:rsidRDefault="000276ED" w:rsidP="000276ED">
            <w:pPr>
              <w:pBdr>
                <w:top w:val="single" w:sz="2" w:space="1" w:color="FFFFFF"/>
                <w:left w:val="single" w:sz="2" w:space="0" w:color="FFFFFF"/>
                <w:bottom w:val="single" w:sz="2" w:space="0" w:color="FFFFFF"/>
                <w:right w:val="single" w:sz="2" w:space="4" w:color="FFFFFF"/>
              </w:pBdr>
              <w:jc w:val="both"/>
              <w:rPr>
                <w:rFonts w:ascii="Arial" w:hAnsi="Arial" w:cs="Arial"/>
                <w:iCs/>
              </w:rPr>
            </w:pPr>
            <w:proofErr w:type="gramStart"/>
            <w:r w:rsidRPr="00C72033">
              <w:rPr>
                <w:rFonts w:ascii="Arial" w:hAnsi="Arial" w:cs="Arial"/>
              </w:rPr>
              <w:t>Revaluations,</w:t>
            </w:r>
            <w:proofErr w:type="gramEnd"/>
            <w:r w:rsidRPr="00C72033">
              <w:rPr>
                <w:rFonts w:ascii="Arial" w:hAnsi="Arial" w:cs="Arial"/>
              </w:rPr>
              <w:t xml:space="preserve"> appeals and possible changes to the baseline mean that the </w:t>
            </w:r>
            <w:r w:rsidR="009C7DF1">
              <w:rPr>
                <w:rFonts w:ascii="Arial" w:hAnsi="Arial" w:cs="Arial"/>
              </w:rPr>
              <w:t>c</w:t>
            </w:r>
            <w:r w:rsidRPr="00C72033">
              <w:rPr>
                <w:rFonts w:ascii="Arial" w:hAnsi="Arial" w:cs="Arial"/>
              </w:rPr>
              <w:t>ouncil assume</w:t>
            </w:r>
            <w:r w:rsidR="009C7DF1">
              <w:rPr>
                <w:rFonts w:ascii="Arial" w:hAnsi="Arial" w:cs="Arial"/>
              </w:rPr>
              <w:t>s</w:t>
            </w:r>
            <w:r w:rsidRPr="00C72033">
              <w:rPr>
                <w:rFonts w:ascii="Arial" w:hAnsi="Arial" w:cs="Arial"/>
              </w:rPr>
              <w:t xml:space="preserve"> no </w:t>
            </w:r>
            <w:r>
              <w:rPr>
                <w:rFonts w:ascii="Arial" w:hAnsi="Arial" w:cs="Arial"/>
              </w:rPr>
              <w:t>increase</w:t>
            </w:r>
            <w:r w:rsidRPr="00C72033">
              <w:rPr>
                <w:rFonts w:ascii="Arial" w:hAnsi="Arial" w:cs="Arial"/>
              </w:rPr>
              <w:t xml:space="preserve"> in the business rates base</w:t>
            </w:r>
            <w:r>
              <w:rPr>
                <w:rFonts w:ascii="Arial" w:hAnsi="Arial" w:cs="Arial"/>
              </w:rPr>
              <w:t xml:space="preserve"> through growth. </w:t>
            </w:r>
            <w:r w:rsidRPr="009838FA">
              <w:rPr>
                <w:rFonts w:ascii="Arial" w:hAnsi="Arial" w:cs="Arial"/>
                <w:iCs/>
              </w:rPr>
              <w:t xml:space="preserve">For </w:t>
            </w:r>
            <w:r w:rsidRPr="009838FA">
              <w:rPr>
                <w:rFonts w:ascii="Arial" w:hAnsi="Arial" w:cs="Arial"/>
              </w:rPr>
              <w:t>the</w:t>
            </w:r>
            <w:r w:rsidRPr="009838FA">
              <w:rPr>
                <w:rFonts w:ascii="Arial" w:hAnsi="Arial" w:cs="Arial"/>
                <w:iCs/>
              </w:rPr>
              <w:t xml:space="preserve"> reasons highlighted</w:t>
            </w:r>
            <w:r>
              <w:rPr>
                <w:rFonts w:ascii="Arial" w:hAnsi="Arial" w:cs="Arial"/>
                <w:iCs/>
              </w:rPr>
              <w:t>,</w:t>
            </w:r>
            <w:r w:rsidRPr="009838FA">
              <w:rPr>
                <w:rFonts w:ascii="Arial" w:hAnsi="Arial" w:cs="Arial"/>
                <w:iCs/>
              </w:rPr>
              <w:t xml:space="preserve"> the </w:t>
            </w:r>
            <w:r>
              <w:rPr>
                <w:rFonts w:ascii="Arial" w:hAnsi="Arial" w:cs="Arial"/>
                <w:iCs/>
              </w:rPr>
              <w:t>c</w:t>
            </w:r>
            <w:r w:rsidRPr="009838FA">
              <w:rPr>
                <w:rFonts w:ascii="Arial" w:hAnsi="Arial" w:cs="Arial"/>
                <w:iCs/>
              </w:rPr>
              <w:t xml:space="preserve">ouncil will </w:t>
            </w:r>
            <w:r>
              <w:rPr>
                <w:rFonts w:ascii="Arial" w:hAnsi="Arial" w:cs="Arial"/>
                <w:iCs/>
              </w:rPr>
              <w:t>monitor gross levels of business rate</w:t>
            </w:r>
            <w:r w:rsidR="009C7DF1">
              <w:rPr>
                <w:rFonts w:ascii="Arial" w:hAnsi="Arial" w:cs="Arial"/>
                <w:iCs/>
              </w:rPr>
              <w:t>s</w:t>
            </w:r>
            <w:r>
              <w:rPr>
                <w:rFonts w:ascii="Arial" w:hAnsi="Arial" w:cs="Arial"/>
                <w:iCs/>
              </w:rPr>
              <w:t xml:space="preserve"> and collection rates as well as </w:t>
            </w:r>
            <w:r w:rsidRPr="009838FA">
              <w:rPr>
                <w:rFonts w:ascii="Arial" w:hAnsi="Arial" w:cs="Arial"/>
                <w:iCs/>
              </w:rPr>
              <w:t>continu</w:t>
            </w:r>
            <w:r>
              <w:rPr>
                <w:rFonts w:ascii="Arial" w:hAnsi="Arial" w:cs="Arial"/>
                <w:iCs/>
              </w:rPr>
              <w:t>ing</w:t>
            </w:r>
            <w:r w:rsidRPr="009838FA">
              <w:rPr>
                <w:rFonts w:ascii="Arial" w:hAnsi="Arial" w:cs="Arial"/>
                <w:iCs/>
              </w:rPr>
              <w:t xml:space="preserve"> to focus resources on </w:t>
            </w:r>
            <w:r>
              <w:rPr>
                <w:rFonts w:ascii="Arial" w:hAnsi="Arial" w:cs="Arial"/>
                <w:iCs/>
              </w:rPr>
              <w:t xml:space="preserve">attracting new and </w:t>
            </w:r>
            <w:r w:rsidRPr="009838FA">
              <w:rPr>
                <w:rFonts w:ascii="Arial" w:hAnsi="Arial" w:cs="Arial"/>
                <w:iCs/>
              </w:rPr>
              <w:t>expanding local businesses</w:t>
            </w:r>
            <w:r>
              <w:rPr>
                <w:rFonts w:ascii="Arial" w:hAnsi="Arial" w:cs="Arial"/>
                <w:iCs/>
              </w:rPr>
              <w:t>.</w:t>
            </w:r>
            <w:r w:rsidRPr="009838FA">
              <w:rPr>
                <w:rFonts w:ascii="Arial" w:hAnsi="Arial" w:cs="Arial"/>
                <w:iCs/>
              </w:rPr>
              <w:t xml:space="preserve"> </w:t>
            </w:r>
          </w:p>
          <w:p w14:paraId="58BEF396" w14:textId="77777777" w:rsidR="000276ED" w:rsidRPr="00C72033" w:rsidRDefault="000276ED" w:rsidP="000276ED">
            <w:pPr>
              <w:rPr>
                <w:rFonts w:ascii="Arial" w:hAnsi="Arial" w:cs="Arial"/>
              </w:rPr>
            </w:pPr>
          </w:p>
        </w:tc>
      </w:tr>
      <w:tr w:rsidR="008579B5" w:rsidRPr="00C72033" w14:paraId="33698243" w14:textId="77777777" w:rsidTr="000276ED">
        <w:trPr>
          <w:trHeight w:val="1345"/>
        </w:trPr>
        <w:tc>
          <w:tcPr>
            <w:tcW w:w="4342" w:type="dxa"/>
            <w:vAlign w:val="center"/>
          </w:tcPr>
          <w:p w14:paraId="2E0AABE4" w14:textId="77777777" w:rsidR="000276ED" w:rsidRPr="00BA578E" w:rsidRDefault="000276ED" w:rsidP="000276ED">
            <w:pPr>
              <w:rPr>
                <w:rFonts w:ascii="Arial" w:hAnsi="Arial" w:cs="Arial"/>
                <w:lang w:eastAsia="en-GB"/>
              </w:rPr>
            </w:pPr>
            <w:r w:rsidRPr="00BA578E">
              <w:rPr>
                <w:rFonts w:ascii="Arial" w:hAnsi="Arial" w:cs="Arial"/>
                <w:lang w:eastAsia="en-GB"/>
              </w:rPr>
              <w:t xml:space="preserve">Additional Business Rates - Lancashire Pooling Arrangements </w:t>
            </w:r>
          </w:p>
          <w:p w14:paraId="6A7119A0" w14:textId="77777777" w:rsidR="000276ED" w:rsidRPr="00BA578E" w:rsidRDefault="000276ED" w:rsidP="000276ED">
            <w:pPr>
              <w:rPr>
                <w:rFonts w:ascii="Arial" w:hAnsi="Arial" w:cs="Arial"/>
                <w:lang w:eastAsia="en-GB"/>
              </w:rPr>
            </w:pPr>
          </w:p>
        </w:tc>
        <w:tc>
          <w:tcPr>
            <w:tcW w:w="1482" w:type="dxa"/>
            <w:vAlign w:val="center"/>
          </w:tcPr>
          <w:p w14:paraId="0FF0FA20" w14:textId="62B700F0" w:rsidR="000276ED" w:rsidRPr="008579B5" w:rsidRDefault="000276ED" w:rsidP="000276ED">
            <w:pPr>
              <w:jc w:val="right"/>
              <w:rPr>
                <w:rFonts w:ascii="Arial" w:hAnsi="Arial" w:cs="Arial"/>
                <w:lang w:eastAsia="en-GB"/>
              </w:rPr>
            </w:pPr>
            <w:r w:rsidRPr="008579B5">
              <w:rPr>
                <w:rFonts w:ascii="Arial" w:hAnsi="Arial" w:cs="Arial"/>
                <w:lang w:eastAsia="en-GB"/>
              </w:rPr>
              <w:t>£</w:t>
            </w:r>
            <w:r w:rsidR="008579B5" w:rsidRPr="008579B5">
              <w:rPr>
                <w:rFonts w:ascii="Arial" w:hAnsi="Arial" w:cs="Arial"/>
                <w:lang w:eastAsia="en-GB"/>
              </w:rPr>
              <w:t>1.396m</w:t>
            </w:r>
          </w:p>
        </w:tc>
        <w:tc>
          <w:tcPr>
            <w:tcW w:w="1415" w:type="dxa"/>
            <w:vAlign w:val="center"/>
          </w:tcPr>
          <w:p w14:paraId="2AB85FCA" w14:textId="08C2A1A8" w:rsidR="000276ED" w:rsidRPr="008579B5" w:rsidRDefault="000276ED" w:rsidP="000276ED">
            <w:pPr>
              <w:jc w:val="right"/>
              <w:rPr>
                <w:rFonts w:ascii="Arial" w:hAnsi="Arial" w:cs="Arial"/>
                <w:lang w:eastAsia="en-GB"/>
              </w:rPr>
            </w:pPr>
            <w:r w:rsidRPr="008579B5">
              <w:rPr>
                <w:rFonts w:ascii="Arial" w:hAnsi="Arial" w:cs="Arial"/>
                <w:lang w:eastAsia="en-GB"/>
              </w:rPr>
              <w:t>£</w:t>
            </w:r>
            <w:r w:rsidR="008579B5" w:rsidRPr="008579B5">
              <w:rPr>
                <w:rFonts w:ascii="Arial" w:hAnsi="Arial" w:cs="Arial"/>
                <w:lang w:eastAsia="en-GB"/>
              </w:rPr>
              <w:t>1.396</w:t>
            </w:r>
            <w:r w:rsidRPr="008579B5">
              <w:rPr>
                <w:rFonts w:ascii="Arial" w:hAnsi="Arial" w:cs="Arial"/>
                <w:lang w:eastAsia="en-GB"/>
              </w:rPr>
              <w:t>m</w:t>
            </w:r>
          </w:p>
        </w:tc>
        <w:tc>
          <w:tcPr>
            <w:tcW w:w="1274" w:type="dxa"/>
            <w:vAlign w:val="center"/>
          </w:tcPr>
          <w:p w14:paraId="7E3F8AC4" w14:textId="7C1B7AA4" w:rsidR="000276ED" w:rsidRPr="008579B5" w:rsidRDefault="000276ED" w:rsidP="000276ED">
            <w:pPr>
              <w:jc w:val="center"/>
              <w:rPr>
                <w:rFonts w:ascii="Arial" w:hAnsi="Arial" w:cs="Arial"/>
                <w:lang w:eastAsia="en-GB"/>
              </w:rPr>
            </w:pPr>
            <w:r w:rsidRPr="008579B5">
              <w:rPr>
                <w:rFonts w:ascii="Arial" w:hAnsi="Arial" w:cs="Arial"/>
                <w:lang w:eastAsia="en-GB"/>
              </w:rPr>
              <w:t>£</w:t>
            </w:r>
            <w:r w:rsidR="008579B5" w:rsidRPr="008579B5">
              <w:rPr>
                <w:rFonts w:ascii="Arial" w:hAnsi="Arial" w:cs="Arial"/>
                <w:lang w:eastAsia="en-GB"/>
              </w:rPr>
              <w:t>1.396</w:t>
            </w:r>
            <w:r w:rsidRPr="008579B5">
              <w:rPr>
                <w:rFonts w:ascii="Arial" w:hAnsi="Arial" w:cs="Arial"/>
                <w:lang w:eastAsia="en-GB"/>
              </w:rPr>
              <w:t>m</w:t>
            </w:r>
          </w:p>
        </w:tc>
        <w:tc>
          <w:tcPr>
            <w:tcW w:w="6337" w:type="dxa"/>
            <w:vAlign w:val="center"/>
          </w:tcPr>
          <w:p w14:paraId="2FEFD6CA" w14:textId="14A40FBB" w:rsidR="009C7DF1" w:rsidRDefault="000276ED" w:rsidP="009C7DF1">
            <w:pPr>
              <w:pBdr>
                <w:top w:val="single" w:sz="2" w:space="1" w:color="FFFFFF"/>
                <w:left w:val="single" w:sz="2" w:space="0" w:color="FFFFFF"/>
                <w:bottom w:val="single" w:sz="2" w:space="2" w:color="FFFFFF"/>
                <w:right w:val="single" w:sz="2" w:space="4" w:color="FFFFFF"/>
              </w:pBdr>
              <w:jc w:val="both"/>
              <w:rPr>
                <w:rFonts w:ascii="Arial" w:hAnsi="Arial" w:cs="Arial"/>
              </w:rPr>
            </w:pPr>
            <w:r>
              <w:rPr>
                <w:rFonts w:ascii="Arial" w:hAnsi="Arial" w:cs="Arial"/>
                <w:bCs/>
                <w:iCs/>
              </w:rPr>
              <w:t>South Ribble</w:t>
            </w:r>
            <w:r w:rsidRPr="00F940F8">
              <w:rPr>
                <w:rFonts w:ascii="Arial" w:hAnsi="Arial" w:cs="Arial"/>
                <w:bCs/>
                <w:iCs/>
              </w:rPr>
              <w:t xml:space="preserve"> </w:t>
            </w:r>
            <w:r w:rsidR="000338B0">
              <w:rPr>
                <w:rFonts w:ascii="Arial" w:hAnsi="Arial" w:cs="Arial"/>
                <w:bCs/>
                <w:iCs/>
              </w:rPr>
              <w:t xml:space="preserve">Borough </w:t>
            </w:r>
            <w:r w:rsidR="009C7DF1" w:rsidRPr="00F940F8">
              <w:rPr>
                <w:rFonts w:ascii="Arial" w:hAnsi="Arial" w:cs="Arial"/>
                <w:bCs/>
                <w:iCs/>
              </w:rPr>
              <w:t xml:space="preserve">Council </w:t>
            </w:r>
            <w:r w:rsidR="009C7DF1">
              <w:rPr>
                <w:rFonts w:ascii="Arial" w:hAnsi="Arial" w:cs="Arial"/>
                <w:bCs/>
                <w:iCs/>
              </w:rPr>
              <w:t xml:space="preserve">has </w:t>
            </w:r>
            <w:r w:rsidR="009C7DF1" w:rsidRPr="00F940F8">
              <w:rPr>
                <w:rFonts w:ascii="Arial" w:hAnsi="Arial" w:cs="Arial"/>
                <w:bCs/>
                <w:iCs/>
              </w:rPr>
              <w:t xml:space="preserve">benefited </w:t>
            </w:r>
            <w:r w:rsidR="009C7DF1">
              <w:rPr>
                <w:rFonts w:ascii="Arial" w:hAnsi="Arial" w:cs="Arial"/>
                <w:bCs/>
                <w:iCs/>
              </w:rPr>
              <w:t>for several years</w:t>
            </w:r>
            <w:r w:rsidR="009C7DF1" w:rsidRPr="00F940F8">
              <w:rPr>
                <w:rFonts w:ascii="Arial" w:hAnsi="Arial" w:cs="Arial"/>
                <w:bCs/>
                <w:iCs/>
              </w:rPr>
              <w:t xml:space="preserve"> from membership of the Lancashire </w:t>
            </w:r>
            <w:r w:rsidR="009C7DF1">
              <w:rPr>
                <w:rFonts w:ascii="Arial" w:hAnsi="Arial" w:cs="Arial"/>
                <w:bCs/>
                <w:iCs/>
              </w:rPr>
              <w:t>B</w:t>
            </w:r>
            <w:r w:rsidR="009C7DF1" w:rsidRPr="00F940F8">
              <w:rPr>
                <w:rFonts w:ascii="Arial" w:hAnsi="Arial" w:cs="Arial"/>
                <w:bCs/>
                <w:iCs/>
              </w:rPr>
              <w:t xml:space="preserve">usiness </w:t>
            </w:r>
            <w:r w:rsidR="009C7DF1">
              <w:rPr>
                <w:rFonts w:ascii="Arial" w:hAnsi="Arial" w:cs="Arial"/>
                <w:bCs/>
                <w:iCs/>
              </w:rPr>
              <w:t>R</w:t>
            </w:r>
            <w:r w:rsidR="009C7DF1" w:rsidRPr="00F940F8">
              <w:rPr>
                <w:rFonts w:ascii="Arial" w:hAnsi="Arial" w:cs="Arial"/>
                <w:bCs/>
                <w:iCs/>
              </w:rPr>
              <w:t xml:space="preserve">ates </w:t>
            </w:r>
            <w:r w:rsidR="009C7DF1">
              <w:rPr>
                <w:rFonts w:ascii="Arial" w:hAnsi="Arial" w:cs="Arial"/>
                <w:bCs/>
                <w:iCs/>
              </w:rPr>
              <w:t>P</w:t>
            </w:r>
            <w:r w:rsidR="009C7DF1" w:rsidRPr="00F940F8">
              <w:rPr>
                <w:rFonts w:ascii="Arial" w:hAnsi="Arial" w:cs="Arial"/>
                <w:bCs/>
                <w:iCs/>
              </w:rPr>
              <w:t xml:space="preserve">ool.  </w:t>
            </w:r>
            <w:r w:rsidR="009C7DF1">
              <w:rPr>
                <w:rFonts w:ascii="Arial" w:hAnsi="Arial" w:cs="Arial"/>
                <w:bCs/>
                <w:iCs/>
              </w:rPr>
              <w:t>I</w:t>
            </w:r>
            <w:r w:rsidR="009C7DF1" w:rsidRPr="008359CB">
              <w:rPr>
                <w:rFonts w:ascii="Arial" w:hAnsi="Arial" w:cs="Arial"/>
              </w:rPr>
              <w:t xml:space="preserve">n the absence of any further information, the budget assumes the council will retain the current level of business rates enjoyed as part of the Lancashire Pool throughout the three year period of </w:t>
            </w:r>
            <w:r w:rsidR="009C7DF1" w:rsidRPr="008359CB">
              <w:rPr>
                <w:rFonts w:ascii="Arial" w:hAnsi="Arial" w:cs="Arial"/>
              </w:rPr>
              <w:lastRenderedPageBreak/>
              <w:t>the MTFS</w:t>
            </w:r>
            <w:r w:rsidR="009C7DF1">
              <w:rPr>
                <w:rFonts w:ascii="Arial" w:hAnsi="Arial" w:cs="Arial"/>
              </w:rPr>
              <w:t>, and the current mechanisms of Business Rate Retention will remain</w:t>
            </w:r>
            <w:r w:rsidR="009C7DF1">
              <w:rPr>
                <w:rFonts w:ascii="Arial" w:hAnsi="Arial" w:cs="Arial"/>
                <w:bCs/>
                <w:iCs/>
              </w:rPr>
              <w:t>.</w:t>
            </w:r>
          </w:p>
          <w:p w14:paraId="1F0FCA31" w14:textId="6BEF6B24" w:rsidR="009C7DF1" w:rsidRPr="00BA578E" w:rsidRDefault="009C7DF1" w:rsidP="009C7DF1">
            <w:pPr>
              <w:rPr>
                <w:rFonts w:ascii="Arial" w:hAnsi="Arial" w:cs="Arial"/>
              </w:rPr>
            </w:pPr>
            <w:r w:rsidRPr="00BA578E">
              <w:rPr>
                <w:rFonts w:ascii="Arial" w:hAnsi="Arial" w:cs="Arial"/>
              </w:rPr>
              <w:t xml:space="preserve">The 2022/23 figure is the additional business rates retained by </w:t>
            </w:r>
            <w:r>
              <w:rPr>
                <w:rFonts w:ascii="Arial" w:hAnsi="Arial" w:cs="Arial"/>
              </w:rPr>
              <w:t>South Ribble</w:t>
            </w:r>
            <w:r w:rsidRPr="00BA578E">
              <w:rPr>
                <w:rFonts w:ascii="Arial" w:hAnsi="Arial" w:cs="Arial"/>
              </w:rPr>
              <w:t xml:space="preserve"> </w:t>
            </w:r>
            <w:r w:rsidR="000338B0">
              <w:rPr>
                <w:rFonts w:ascii="Arial" w:hAnsi="Arial" w:cs="Arial"/>
              </w:rPr>
              <w:t xml:space="preserve">Borough </w:t>
            </w:r>
            <w:r w:rsidRPr="00BA578E">
              <w:rPr>
                <w:rFonts w:ascii="Arial" w:hAnsi="Arial" w:cs="Arial"/>
              </w:rPr>
              <w:t xml:space="preserve">Council as part of its membership to the Lancashire business rates pool. </w:t>
            </w:r>
          </w:p>
          <w:p w14:paraId="3BCC863A" w14:textId="77777777" w:rsidR="009C7DF1" w:rsidRPr="00BA578E" w:rsidRDefault="009C7DF1" w:rsidP="009C7DF1">
            <w:pPr>
              <w:rPr>
                <w:rFonts w:ascii="Arial" w:hAnsi="Arial" w:cs="Arial"/>
              </w:rPr>
            </w:pPr>
          </w:p>
          <w:p w14:paraId="5BCBC5A0" w14:textId="30464367" w:rsidR="000276ED" w:rsidRPr="00BA578E" w:rsidRDefault="009C7DF1" w:rsidP="009C7DF1">
            <w:pPr>
              <w:rPr>
                <w:rFonts w:ascii="Arial" w:hAnsi="Arial" w:cs="Arial"/>
              </w:rPr>
            </w:pPr>
            <w:r w:rsidRPr="00BA578E">
              <w:rPr>
                <w:rFonts w:ascii="Arial" w:hAnsi="Arial" w:cs="Arial"/>
              </w:rPr>
              <w:t xml:space="preserve">It is assumed the pool does continue </w:t>
            </w:r>
            <w:r>
              <w:rPr>
                <w:rFonts w:ascii="Arial" w:hAnsi="Arial" w:cs="Arial"/>
              </w:rPr>
              <w:t>during the next three-year period. It is possible the implementation of the fair funding review eliminates these gains. No timetable has been set regarding the review however retaining this income does still present a risk to the council over the medium</w:t>
            </w:r>
            <w:r w:rsidR="000276ED">
              <w:rPr>
                <w:rFonts w:ascii="Arial" w:hAnsi="Arial" w:cs="Arial"/>
              </w:rPr>
              <w:t xml:space="preserve"> term.</w:t>
            </w:r>
          </w:p>
        </w:tc>
      </w:tr>
      <w:tr w:rsidR="008579B5" w:rsidRPr="00C72033" w14:paraId="27B6A327" w14:textId="77777777" w:rsidTr="000276ED">
        <w:trPr>
          <w:trHeight w:val="454"/>
        </w:trPr>
        <w:tc>
          <w:tcPr>
            <w:tcW w:w="4342" w:type="dxa"/>
            <w:vAlign w:val="center"/>
          </w:tcPr>
          <w:p w14:paraId="71B716D5" w14:textId="77777777" w:rsidR="000276ED" w:rsidRPr="008579B5" w:rsidRDefault="000276ED" w:rsidP="000276ED">
            <w:pPr>
              <w:rPr>
                <w:rFonts w:ascii="Arial" w:hAnsi="Arial" w:cs="Arial"/>
                <w:lang w:eastAsia="en-GB"/>
              </w:rPr>
            </w:pPr>
            <w:r w:rsidRPr="008579B5">
              <w:rPr>
                <w:rFonts w:ascii="Arial" w:hAnsi="Arial" w:cs="Arial"/>
                <w:lang w:eastAsia="en-GB"/>
              </w:rPr>
              <w:lastRenderedPageBreak/>
              <w:t>Business Rates Equalisation Reserve</w:t>
            </w:r>
          </w:p>
        </w:tc>
        <w:tc>
          <w:tcPr>
            <w:tcW w:w="1482" w:type="dxa"/>
            <w:vAlign w:val="center"/>
          </w:tcPr>
          <w:p w14:paraId="17F3E90F" w14:textId="089980E3" w:rsidR="000276ED" w:rsidRPr="008579B5" w:rsidRDefault="000276ED" w:rsidP="000276ED">
            <w:pPr>
              <w:jc w:val="right"/>
              <w:rPr>
                <w:rFonts w:ascii="Arial" w:hAnsi="Arial" w:cs="Arial"/>
                <w:lang w:eastAsia="en-GB"/>
              </w:rPr>
            </w:pPr>
            <w:r w:rsidRPr="008579B5">
              <w:rPr>
                <w:rFonts w:ascii="Arial" w:hAnsi="Arial" w:cs="Arial"/>
                <w:lang w:eastAsia="en-GB"/>
              </w:rPr>
              <w:t>£</w:t>
            </w:r>
            <w:r w:rsidR="008579B5" w:rsidRPr="008579B5">
              <w:rPr>
                <w:rFonts w:ascii="Arial" w:hAnsi="Arial" w:cs="Arial"/>
                <w:lang w:eastAsia="en-GB"/>
              </w:rPr>
              <w:t>2.843</w:t>
            </w:r>
            <w:r w:rsidRPr="008579B5">
              <w:rPr>
                <w:rFonts w:ascii="Arial" w:hAnsi="Arial" w:cs="Arial"/>
                <w:lang w:eastAsia="en-GB"/>
              </w:rPr>
              <w:t>m</w:t>
            </w:r>
          </w:p>
        </w:tc>
        <w:tc>
          <w:tcPr>
            <w:tcW w:w="1415" w:type="dxa"/>
            <w:vAlign w:val="center"/>
          </w:tcPr>
          <w:p w14:paraId="0340ABB6" w14:textId="59A38C85" w:rsidR="000276ED" w:rsidRPr="008579B5" w:rsidRDefault="000276ED" w:rsidP="000276ED">
            <w:pPr>
              <w:jc w:val="right"/>
              <w:rPr>
                <w:rFonts w:ascii="Arial" w:hAnsi="Arial" w:cs="Arial"/>
                <w:lang w:eastAsia="en-GB"/>
              </w:rPr>
            </w:pPr>
            <w:r w:rsidRPr="008579B5">
              <w:rPr>
                <w:rFonts w:ascii="Arial" w:hAnsi="Arial" w:cs="Arial"/>
                <w:lang w:eastAsia="en-GB"/>
              </w:rPr>
              <w:t>£</w:t>
            </w:r>
            <w:r w:rsidR="008579B5" w:rsidRPr="008579B5">
              <w:rPr>
                <w:rFonts w:ascii="Arial" w:hAnsi="Arial" w:cs="Arial"/>
                <w:lang w:eastAsia="en-GB"/>
              </w:rPr>
              <w:t>2.843</w:t>
            </w:r>
            <w:r w:rsidRPr="008579B5">
              <w:rPr>
                <w:rFonts w:ascii="Arial" w:hAnsi="Arial" w:cs="Arial"/>
                <w:lang w:eastAsia="en-GB"/>
              </w:rPr>
              <w:t>m</w:t>
            </w:r>
          </w:p>
        </w:tc>
        <w:tc>
          <w:tcPr>
            <w:tcW w:w="1274" w:type="dxa"/>
            <w:vAlign w:val="center"/>
          </w:tcPr>
          <w:p w14:paraId="63080EA0" w14:textId="447799DC" w:rsidR="000276ED" w:rsidRPr="008579B5" w:rsidRDefault="000276ED" w:rsidP="000276ED">
            <w:pPr>
              <w:jc w:val="center"/>
              <w:rPr>
                <w:rFonts w:ascii="Arial" w:hAnsi="Arial" w:cs="Arial"/>
                <w:lang w:eastAsia="en-GB"/>
              </w:rPr>
            </w:pPr>
            <w:r w:rsidRPr="008579B5">
              <w:rPr>
                <w:rFonts w:ascii="Arial" w:hAnsi="Arial" w:cs="Arial"/>
                <w:lang w:eastAsia="en-GB"/>
              </w:rPr>
              <w:t>£</w:t>
            </w:r>
            <w:r w:rsidR="008579B5" w:rsidRPr="008579B5">
              <w:rPr>
                <w:rFonts w:ascii="Arial" w:hAnsi="Arial" w:cs="Arial"/>
                <w:lang w:eastAsia="en-GB"/>
              </w:rPr>
              <w:t>2.843</w:t>
            </w:r>
            <w:r w:rsidRPr="008579B5">
              <w:rPr>
                <w:rFonts w:ascii="Arial" w:hAnsi="Arial" w:cs="Arial"/>
                <w:lang w:eastAsia="en-GB"/>
              </w:rPr>
              <w:t>m</w:t>
            </w:r>
          </w:p>
        </w:tc>
        <w:tc>
          <w:tcPr>
            <w:tcW w:w="6337" w:type="dxa"/>
            <w:vAlign w:val="center"/>
          </w:tcPr>
          <w:p w14:paraId="2945F6CD" w14:textId="56F4EDE3" w:rsidR="007D060A" w:rsidRDefault="007D060A" w:rsidP="007D060A">
            <w:pPr>
              <w:pBdr>
                <w:top w:val="single" w:sz="2" w:space="1" w:color="FFFFFF"/>
                <w:left w:val="single" w:sz="2" w:space="0" w:color="FFFFFF"/>
                <w:bottom w:val="single" w:sz="2" w:space="2" w:color="FFFFFF"/>
                <w:right w:val="single" w:sz="2" w:space="4" w:color="FFFFFF"/>
              </w:pBdr>
              <w:jc w:val="both"/>
              <w:rPr>
                <w:rFonts w:ascii="Arial" w:hAnsi="Arial" w:cs="Arial"/>
                <w:iCs/>
              </w:rPr>
            </w:pPr>
            <w:r>
              <w:rPr>
                <w:rFonts w:ascii="Arial" w:hAnsi="Arial" w:cs="Arial"/>
                <w:iCs/>
              </w:rPr>
              <w:t xml:space="preserve">A </w:t>
            </w:r>
            <w:r w:rsidRPr="00A2716D">
              <w:rPr>
                <w:rFonts w:ascii="Arial" w:hAnsi="Arial" w:cs="Arial"/>
                <w:iCs/>
              </w:rPr>
              <w:t xml:space="preserve">consideration </w:t>
            </w:r>
            <w:r>
              <w:rPr>
                <w:rFonts w:ascii="Arial" w:hAnsi="Arial" w:cs="Arial"/>
                <w:iCs/>
              </w:rPr>
              <w:t xml:space="preserve">within the MTFS is the impact that a national economic slow-down could have on the level of </w:t>
            </w:r>
            <w:r w:rsidRPr="00A2716D">
              <w:rPr>
                <w:rFonts w:ascii="Arial" w:hAnsi="Arial" w:cs="Arial"/>
                <w:iCs/>
              </w:rPr>
              <w:t>business rates income</w:t>
            </w:r>
            <w:r>
              <w:rPr>
                <w:rFonts w:ascii="Arial" w:hAnsi="Arial" w:cs="Arial"/>
                <w:iCs/>
              </w:rPr>
              <w:t>. This could</w:t>
            </w:r>
            <w:r w:rsidRPr="00A2716D">
              <w:rPr>
                <w:rFonts w:ascii="Arial" w:hAnsi="Arial" w:cs="Arial"/>
                <w:iCs/>
              </w:rPr>
              <w:t xml:space="preserve"> result in an increase in the number of appeals against rateable values</w:t>
            </w:r>
            <w:r>
              <w:rPr>
                <w:rFonts w:ascii="Arial" w:hAnsi="Arial" w:cs="Arial"/>
                <w:iCs/>
              </w:rPr>
              <w:t>,</w:t>
            </w:r>
            <w:r w:rsidRPr="00A2716D">
              <w:rPr>
                <w:rFonts w:ascii="Arial" w:hAnsi="Arial" w:cs="Arial"/>
                <w:iCs/>
              </w:rPr>
              <w:t xml:space="preserve"> as well as reducing local economic activity and therefore reducing retained business rates. The council’s </w:t>
            </w:r>
            <w:r>
              <w:rPr>
                <w:rFonts w:ascii="Arial" w:hAnsi="Arial" w:cs="Arial"/>
                <w:iCs/>
              </w:rPr>
              <w:t xml:space="preserve">share of the </w:t>
            </w:r>
            <w:r w:rsidRPr="00A2716D">
              <w:rPr>
                <w:rFonts w:ascii="Arial" w:hAnsi="Arial" w:cs="Arial"/>
                <w:iCs/>
              </w:rPr>
              <w:t xml:space="preserve">provision for appeals </w:t>
            </w:r>
            <w:r>
              <w:rPr>
                <w:rFonts w:ascii="Arial" w:hAnsi="Arial" w:cs="Arial"/>
                <w:iCs/>
              </w:rPr>
              <w:t xml:space="preserve">currently </w:t>
            </w:r>
            <w:r w:rsidRPr="00A2716D">
              <w:rPr>
                <w:rFonts w:ascii="Arial" w:hAnsi="Arial" w:cs="Arial"/>
                <w:iCs/>
              </w:rPr>
              <w:t>stand</w:t>
            </w:r>
            <w:r>
              <w:rPr>
                <w:rFonts w:ascii="Arial" w:hAnsi="Arial" w:cs="Arial"/>
                <w:iCs/>
              </w:rPr>
              <w:t>s</w:t>
            </w:r>
            <w:r w:rsidRPr="00A2716D">
              <w:rPr>
                <w:rFonts w:ascii="Arial" w:hAnsi="Arial" w:cs="Arial"/>
                <w:iCs/>
              </w:rPr>
              <w:t xml:space="preserve"> at </w:t>
            </w:r>
            <w:r w:rsidRPr="008579B5">
              <w:rPr>
                <w:rFonts w:ascii="Arial" w:hAnsi="Arial" w:cs="Arial"/>
                <w:iCs/>
              </w:rPr>
              <w:t>approximately £</w:t>
            </w:r>
            <w:r w:rsidR="008579B5" w:rsidRPr="008579B5">
              <w:rPr>
                <w:rFonts w:ascii="Arial" w:hAnsi="Arial" w:cs="Arial"/>
                <w:iCs/>
              </w:rPr>
              <w:t>3.23</w:t>
            </w:r>
            <w:r w:rsidRPr="008579B5">
              <w:rPr>
                <w:rFonts w:ascii="Arial" w:hAnsi="Arial" w:cs="Arial"/>
                <w:iCs/>
              </w:rPr>
              <w:t>m in 2022/23</w:t>
            </w:r>
            <w:r w:rsidRPr="00A2716D">
              <w:rPr>
                <w:rFonts w:ascii="Arial" w:hAnsi="Arial" w:cs="Arial"/>
                <w:iCs/>
              </w:rPr>
              <w:t xml:space="preserve"> which is comparable to the national average. </w:t>
            </w:r>
          </w:p>
          <w:p w14:paraId="4AA143E6" w14:textId="7FD4B4B1" w:rsidR="000276ED" w:rsidRPr="00653599" w:rsidRDefault="007D060A" w:rsidP="007D060A">
            <w:pPr>
              <w:rPr>
                <w:rFonts w:ascii="Arial" w:hAnsi="Arial" w:cs="Arial"/>
              </w:rPr>
            </w:pPr>
            <w:r w:rsidRPr="00A2716D">
              <w:rPr>
                <w:rFonts w:ascii="Arial" w:hAnsi="Arial" w:cs="Arial"/>
                <w:iCs/>
              </w:rPr>
              <w:t xml:space="preserve">In addition, the council’s business rates income equalisation reserve has </w:t>
            </w:r>
            <w:r w:rsidRPr="008579B5">
              <w:rPr>
                <w:rFonts w:ascii="Arial" w:hAnsi="Arial" w:cs="Arial"/>
                <w:iCs/>
              </w:rPr>
              <w:t>approximately £</w:t>
            </w:r>
            <w:r w:rsidR="008579B5" w:rsidRPr="008579B5">
              <w:rPr>
                <w:rFonts w:ascii="Arial" w:hAnsi="Arial" w:cs="Arial"/>
                <w:iCs/>
              </w:rPr>
              <w:t>2.843</w:t>
            </w:r>
            <w:r w:rsidRPr="008579B5">
              <w:rPr>
                <w:rFonts w:ascii="Arial" w:hAnsi="Arial" w:cs="Arial"/>
                <w:iCs/>
              </w:rPr>
              <w:t>m set</w:t>
            </w:r>
            <w:r w:rsidRPr="00A2716D">
              <w:rPr>
                <w:rFonts w:ascii="Arial" w:hAnsi="Arial" w:cs="Arial"/>
                <w:iCs/>
              </w:rPr>
              <w:t xml:space="preserve"> aside over the medium-term to manage the risk of temporary </w:t>
            </w:r>
            <w:r w:rsidRPr="008579B5">
              <w:rPr>
                <w:rFonts w:ascii="Arial" w:hAnsi="Arial" w:cs="Arial"/>
                <w:iCs/>
              </w:rPr>
              <w:t xml:space="preserve">reductions in retained business rates; this </w:t>
            </w:r>
            <w:r w:rsidRPr="008579B5">
              <w:rPr>
                <w:rFonts w:ascii="Arial" w:hAnsi="Arial" w:cs="Arial"/>
              </w:rPr>
              <w:t xml:space="preserve">equates approximately to a </w:t>
            </w:r>
            <w:r w:rsidR="008579B5" w:rsidRPr="008579B5">
              <w:rPr>
                <w:rFonts w:ascii="Arial" w:hAnsi="Arial" w:cs="Arial"/>
              </w:rPr>
              <w:t>48</w:t>
            </w:r>
            <w:r w:rsidRPr="008579B5">
              <w:rPr>
                <w:rFonts w:ascii="Arial" w:hAnsi="Arial" w:cs="Arial"/>
              </w:rPr>
              <w:t>% reduction in 2022/23 levels of retained business rates</w:t>
            </w:r>
            <w:r w:rsidRPr="00653599">
              <w:rPr>
                <w:rFonts w:ascii="Arial" w:hAnsi="Arial" w:cs="Arial"/>
              </w:rPr>
              <w:t xml:space="preserve"> income. </w:t>
            </w:r>
            <w:r>
              <w:rPr>
                <w:rFonts w:ascii="Arial" w:hAnsi="Arial" w:cs="Arial"/>
              </w:rPr>
              <w:t>It is assumed that this level of reserve will be maintained across the period of the MTFS.</w:t>
            </w:r>
          </w:p>
        </w:tc>
      </w:tr>
      <w:tr w:rsidR="008579B5" w:rsidRPr="00C72033" w14:paraId="416329D6" w14:textId="77777777" w:rsidTr="000276ED">
        <w:trPr>
          <w:trHeight w:val="723"/>
        </w:trPr>
        <w:tc>
          <w:tcPr>
            <w:tcW w:w="4342" w:type="dxa"/>
            <w:tcBorders>
              <w:bottom w:val="single" w:sz="4" w:space="0" w:color="auto"/>
            </w:tcBorders>
            <w:vAlign w:val="center"/>
          </w:tcPr>
          <w:p w14:paraId="249DC56B" w14:textId="77777777" w:rsidR="000276ED" w:rsidRPr="00C72033" w:rsidRDefault="000276ED" w:rsidP="000276ED">
            <w:pPr>
              <w:rPr>
                <w:rFonts w:ascii="Arial" w:hAnsi="Arial" w:cs="Arial"/>
                <w:lang w:eastAsia="en-GB"/>
              </w:rPr>
            </w:pPr>
            <w:r w:rsidRPr="00C72033">
              <w:rPr>
                <w:rFonts w:ascii="Arial" w:hAnsi="Arial" w:cs="Arial"/>
                <w:lang w:eastAsia="en-GB"/>
              </w:rPr>
              <w:t>Total Forecast New Homes Bonus </w:t>
            </w:r>
          </w:p>
        </w:tc>
        <w:tc>
          <w:tcPr>
            <w:tcW w:w="1482" w:type="dxa"/>
            <w:tcBorders>
              <w:bottom w:val="single" w:sz="4" w:space="0" w:color="auto"/>
            </w:tcBorders>
            <w:vAlign w:val="center"/>
          </w:tcPr>
          <w:p w14:paraId="53AB60D4" w14:textId="14E70845" w:rsidR="000276ED" w:rsidRPr="008579B5" w:rsidRDefault="000276ED" w:rsidP="000276ED">
            <w:pPr>
              <w:jc w:val="right"/>
              <w:rPr>
                <w:rFonts w:ascii="Arial" w:hAnsi="Arial" w:cs="Arial"/>
                <w:lang w:eastAsia="en-GB"/>
              </w:rPr>
            </w:pPr>
            <w:r w:rsidRPr="008579B5">
              <w:rPr>
                <w:rFonts w:ascii="Arial" w:hAnsi="Arial" w:cs="Arial"/>
                <w:lang w:eastAsia="en-GB"/>
              </w:rPr>
              <w:t>£0.8</w:t>
            </w:r>
            <w:r w:rsidR="00F5519C" w:rsidRPr="008579B5">
              <w:rPr>
                <w:rFonts w:ascii="Arial" w:hAnsi="Arial" w:cs="Arial"/>
                <w:lang w:eastAsia="en-GB"/>
              </w:rPr>
              <w:t>02</w:t>
            </w:r>
            <w:r w:rsidRPr="008579B5">
              <w:rPr>
                <w:rFonts w:ascii="Arial" w:hAnsi="Arial" w:cs="Arial"/>
                <w:lang w:eastAsia="en-GB"/>
              </w:rPr>
              <w:t>m</w:t>
            </w:r>
          </w:p>
        </w:tc>
        <w:tc>
          <w:tcPr>
            <w:tcW w:w="1415" w:type="dxa"/>
            <w:tcBorders>
              <w:bottom w:val="single" w:sz="4" w:space="0" w:color="auto"/>
            </w:tcBorders>
            <w:vAlign w:val="center"/>
          </w:tcPr>
          <w:p w14:paraId="70AE7F60" w14:textId="77777777" w:rsidR="000276ED" w:rsidRPr="008579B5" w:rsidRDefault="000276ED" w:rsidP="000276ED">
            <w:pPr>
              <w:jc w:val="right"/>
              <w:rPr>
                <w:rFonts w:ascii="Arial" w:hAnsi="Arial" w:cs="Arial"/>
                <w:lang w:eastAsia="en-GB"/>
              </w:rPr>
            </w:pPr>
            <w:r w:rsidRPr="008579B5">
              <w:rPr>
                <w:rFonts w:ascii="Arial" w:hAnsi="Arial" w:cs="Arial"/>
                <w:lang w:eastAsia="en-GB"/>
              </w:rPr>
              <w:t>£0.000m</w:t>
            </w:r>
          </w:p>
        </w:tc>
        <w:tc>
          <w:tcPr>
            <w:tcW w:w="1274" w:type="dxa"/>
            <w:tcBorders>
              <w:bottom w:val="single" w:sz="4" w:space="0" w:color="auto"/>
            </w:tcBorders>
            <w:vAlign w:val="center"/>
          </w:tcPr>
          <w:p w14:paraId="71598853" w14:textId="77777777" w:rsidR="000276ED" w:rsidRPr="000054DD" w:rsidRDefault="000276ED" w:rsidP="000276ED">
            <w:pPr>
              <w:jc w:val="right"/>
              <w:rPr>
                <w:rFonts w:ascii="Arial" w:hAnsi="Arial" w:cs="Arial"/>
                <w:lang w:eastAsia="en-GB"/>
              </w:rPr>
            </w:pPr>
            <w:r w:rsidRPr="000054DD">
              <w:rPr>
                <w:rFonts w:ascii="Arial" w:hAnsi="Arial" w:cs="Arial"/>
                <w:lang w:eastAsia="en-GB"/>
              </w:rPr>
              <w:t>£0.000m</w:t>
            </w:r>
          </w:p>
        </w:tc>
        <w:tc>
          <w:tcPr>
            <w:tcW w:w="6337" w:type="dxa"/>
            <w:tcBorders>
              <w:bottom w:val="single" w:sz="4" w:space="0" w:color="auto"/>
            </w:tcBorders>
            <w:vAlign w:val="center"/>
          </w:tcPr>
          <w:p w14:paraId="12CFBB23" w14:textId="363E5BF4" w:rsidR="000276ED" w:rsidRDefault="000276ED" w:rsidP="000276ED">
            <w:pPr>
              <w:rPr>
                <w:rFonts w:ascii="Arial" w:hAnsi="Arial" w:cs="Arial"/>
              </w:rPr>
            </w:pPr>
            <w:r w:rsidRPr="00D52689">
              <w:rPr>
                <w:rFonts w:ascii="Arial" w:hAnsi="Arial" w:cs="Arial"/>
              </w:rPr>
              <w:t>New Homes Bonus was introduced in 2011 as a stimulus for the provision of new homes and is a non-ringfenced grant, distributed between local authorities based upon new growth in housing provision in their area. The length of time that the bonus is paid for, for each new home built, has reduced from 6 years when it was first introduced, down to 5 years with effect from 2017/18, and down to 4 years from 2018/19.</w:t>
            </w:r>
          </w:p>
          <w:p w14:paraId="115A7D61" w14:textId="77777777" w:rsidR="00D52689" w:rsidRPr="00D52689" w:rsidRDefault="00D52689" w:rsidP="000276ED">
            <w:pPr>
              <w:rPr>
                <w:rFonts w:ascii="Arial" w:hAnsi="Arial" w:cs="Arial"/>
              </w:rPr>
            </w:pPr>
          </w:p>
          <w:p w14:paraId="5199E109" w14:textId="77777777" w:rsidR="000276ED" w:rsidRPr="00D52689" w:rsidRDefault="000276ED" w:rsidP="000276ED">
            <w:pPr>
              <w:pBdr>
                <w:top w:val="single" w:sz="2" w:space="1" w:color="FFFFFF"/>
                <w:left w:val="single" w:sz="2" w:space="0" w:color="FFFFFF"/>
                <w:bottom w:val="single" w:sz="2" w:space="2" w:color="FFFFFF"/>
                <w:right w:val="single" w:sz="2" w:space="4" w:color="FFFFFF"/>
              </w:pBdr>
              <w:jc w:val="both"/>
              <w:rPr>
                <w:rFonts w:ascii="Arial" w:hAnsi="Arial" w:cs="Arial"/>
                <w:szCs w:val="16"/>
              </w:rPr>
            </w:pPr>
            <w:r w:rsidRPr="00D52689">
              <w:rPr>
                <w:rFonts w:ascii="Arial" w:hAnsi="Arial" w:cs="Arial"/>
              </w:rPr>
              <w:lastRenderedPageBreak/>
              <w:t>For the past 2 years a one-year, non-recurring allocation has been provided but it is expected that this will be the final year of funding, and therefore the MTFS assumes no further income beyond 22/23.</w:t>
            </w:r>
            <w:r w:rsidRPr="00D52689">
              <w:rPr>
                <w:rFonts w:ascii="Arial" w:hAnsi="Arial" w:cs="Arial"/>
                <w:szCs w:val="16"/>
              </w:rPr>
              <w:t xml:space="preserve"> </w:t>
            </w:r>
          </w:p>
          <w:p w14:paraId="464ADF3E" w14:textId="7BE28181" w:rsidR="00F5519C" w:rsidRPr="00653599" w:rsidRDefault="00F5519C" w:rsidP="000276ED">
            <w:pPr>
              <w:pBdr>
                <w:top w:val="single" w:sz="2" w:space="1" w:color="FFFFFF"/>
                <w:left w:val="single" w:sz="2" w:space="0" w:color="FFFFFF"/>
                <w:bottom w:val="single" w:sz="2" w:space="2" w:color="FFFFFF"/>
                <w:right w:val="single" w:sz="2" w:space="4" w:color="FFFFFF"/>
              </w:pBdr>
              <w:jc w:val="both"/>
              <w:rPr>
                <w:rFonts w:ascii="Arial" w:hAnsi="Arial" w:cs="Arial"/>
              </w:rPr>
            </w:pPr>
            <w:r w:rsidRPr="00D52689">
              <w:rPr>
                <w:rFonts w:ascii="Arial" w:hAnsi="Arial" w:cs="Arial"/>
              </w:rPr>
              <w:t>The funding for 2022/23 is forecast to be passed to the City Deal as per the original agreement.</w:t>
            </w:r>
          </w:p>
        </w:tc>
      </w:tr>
      <w:tr w:rsidR="008579B5" w:rsidRPr="00C72033" w14:paraId="4CEB9D3E" w14:textId="77777777" w:rsidTr="000276ED">
        <w:trPr>
          <w:trHeight w:val="723"/>
        </w:trPr>
        <w:tc>
          <w:tcPr>
            <w:tcW w:w="4342" w:type="dxa"/>
            <w:tcBorders>
              <w:bottom w:val="single" w:sz="4" w:space="0" w:color="auto"/>
            </w:tcBorders>
            <w:vAlign w:val="center"/>
          </w:tcPr>
          <w:p w14:paraId="1448C831" w14:textId="77777777" w:rsidR="000276ED" w:rsidRPr="000054DD" w:rsidRDefault="000276ED" w:rsidP="000276ED">
            <w:pPr>
              <w:rPr>
                <w:rFonts w:ascii="Arial" w:hAnsi="Arial" w:cs="Arial"/>
                <w:lang w:eastAsia="en-GB"/>
              </w:rPr>
            </w:pPr>
            <w:r w:rsidRPr="000054DD">
              <w:rPr>
                <w:rFonts w:ascii="Arial" w:hAnsi="Arial" w:cs="Arial"/>
                <w:lang w:eastAsia="en-GB"/>
              </w:rPr>
              <w:lastRenderedPageBreak/>
              <w:t>Lower Tier Services Grant and Services Grant</w:t>
            </w:r>
          </w:p>
        </w:tc>
        <w:tc>
          <w:tcPr>
            <w:tcW w:w="1482" w:type="dxa"/>
            <w:tcBorders>
              <w:bottom w:val="single" w:sz="4" w:space="0" w:color="auto"/>
            </w:tcBorders>
            <w:vAlign w:val="center"/>
          </w:tcPr>
          <w:p w14:paraId="4734C449" w14:textId="71CEAB37" w:rsidR="000276ED" w:rsidRPr="008579B5" w:rsidRDefault="000276ED" w:rsidP="000276ED">
            <w:pPr>
              <w:jc w:val="right"/>
              <w:rPr>
                <w:rFonts w:ascii="Arial" w:hAnsi="Arial" w:cs="Arial"/>
                <w:lang w:eastAsia="en-GB"/>
              </w:rPr>
            </w:pPr>
            <w:r w:rsidRPr="008579B5">
              <w:rPr>
                <w:rFonts w:ascii="Arial" w:hAnsi="Arial" w:cs="Arial"/>
                <w:lang w:eastAsia="en-GB"/>
              </w:rPr>
              <w:t>£0.</w:t>
            </w:r>
            <w:r w:rsidR="008579B5" w:rsidRPr="008579B5">
              <w:rPr>
                <w:rFonts w:ascii="Arial" w:hAnsi="Arial" w:cs="Arial"/>
                <w:lang w:eastAsia="en-GB"/>
              </w:rPr>
              <w:t>269</w:t>
            </w:r>
            <w:r w:rsidRPr="008579B5">
              <w:rPr>
                <w:rFonts w:ascii="Arial" w:hAnsi="Arial" w:cs="Arial"/>
                <w:lang w:eastAsia="en-GB"/>
              </w:rPr>
              <w:t>m</w:t>
            </w:r>
          </w:p>
        </w:tc>
        <w:tc>
          <w:tcPr>
            <w:tcW w:w="1415" w:type="dxa"/>
            <w:tcBorders>
              <w:bottom w:val="single" w:sz="4" w:space="0" w:color="auto"/>
            </w:tcBorders>
            <w:vAlign w:val="center"/>
          </w:tcPr>
          <w:p w14:paraId="4E5AFF1B" w14:textId="77777777" w:rsidR="000276ED" w:rsidRPr="008579B5" w:rsidRDefault="000276ED" w:rsidP="000276ED">
            <w:pPr>
              <w:jc w:val="right"/>
              <w:rPr>
                <w:rFonts w:ascii="Arial" w:hAnsi="Arial" w:cs="Arial"/>
                <w:lang w:eastAsia="en-GB"/>
              </w:rPr>
            </w:pPr>
            <w:r w:rsidRPr="008579B5">
              <w:rPr>
                <w:rFonts w:ascii="Arial" w:hAnsi="Arial" w:cs="Arial"/>
                <w:lang w:eastAsia="en-GB"/>
              </w:rPr>
              <w:t>£0.000m</w:t>
            </w:r>
          </w:p>
        </w:tc>
        <w:tc>
          <w:tcPr>
            <w:tcW w:w="1274" w:type="dxa"/>
            <w:tcBorders>
              <w:bottom w:val="single" w:sz="4" w:space="0" w:color="auto"/>
            </w:tcBorders>
            <w:vAlign w:val="center"/>
          </w:tcPr>
          <w:p w14:paraId="13F99FCE" w14:textId="77777777" w:rsidR="000276ED" w:rsidRPr="000054DD" w:rsidRDefault="000276ED" w:rsidP="000276ED">
            <w:pPr>
              <w:jc w:val="right"/>
              <w:rPr>
                <w:rFonts w:ascii="Arial" w:hAnsi="Arial" w:cs="Arial"/>
                <w:lang w:eastAsia="en-GB"/>
              </w:rPr>
            </w:pPr>
            <w:r w:rsidRPr="000054DD">
              <w:rPr>
                <w:rFonts w:ascii="Arial" w:hAnsi="Arial" w:cs="Arial"/>
                <w:lang w:eastAsia="en-GB"/>
              </w:rPr>
              <w:t>£0.000m</w:t>
            </w:r>
          </w:p>
        </w:tc>
        <w:tc>
          <w:tcPr>
            <w:tcW w:w="6337" w:type="dxa"/>
            <w:tcBorders>
              <w:bottom w:val="single" w:sz="4" w:space="0" w:color="auto"/>
            </w:tcBorders>
            <w:vAlign w:val="center"/>
          </w:tcPr>
          <w:p w14:paraId="017DBD3D" w14:textId="77777777" w:rsidR="00D52689" w:rsidRDefault="00D52689" w:rsidP="00D52689">
            <w:pPr>
              <w:pBdr>
                <w:top w:val="single" w:sz="2" w:space="1" w:color="FFFFFF"/>
                <w:left w:val="single" w:sz="2" w:space="0" w:color="FFFFFF"/>
                <w:bottom w:val="single" w:sz="2" w:space="2" w:color="FFFFFF"/>
                <w:right w:val="single" w:sz="2" w:space="4" w:color="FFFFFF"/>
              </w:pBdr>
              <w:ind w:right="141"/>
              <w:jc w:val="both"/>
              <w:rPr>
                <w:rFonts w:ascii="Arial" w:hAnsi="Arial" w:cs="Arial"/>
              </w:rPr>
            </w:pPr>
            <w:r w:rsidRPr="00C74807">
              <w:rPr>
                <w:rFonts w:ascii="Arial" w:hAnsi="Arial" w:cs="Arial"/>
                <w:szCs w:val="16"/>
              </w:rPr>
              <w:t xml:space="preserve">Every year </w:t>
            </w:r>
            <w:r w:rsidRPr="00C74807">
              <w:rPr>
                <w:rFonts w:ascii="Arial" w:hAnsi="Arial" w:cs="Arial"/>
              </w:rPr>
              <w:t>the Government calculates the council’s core spending power which is a combination of the council’s council tax income, business rates income and new homes bonus grant allocation. The Lower Tier Services Grant, first introduced in 2021/22</w:t>
            </w:r>
            <w:r>
              <w:rPr>
                <w:rFonts w:ascii="Arial" w:hAnsi="Arial" w:cs="Arial"/>
              </w:rPr>
              <w:t>,</w:t>
            </w:r>
            <w:r w:rsidRPr="00C74807">
              <w:rPr>
                <w:rFonts w:ascii="Arial" w:hAnsi="Arial" w:cs="Arial"/>
              </w:rPr>
              <w:t xml:space="preserve"> has been allocated again in 2022/23 to compensate the council for the reduction in funding identified through the core spending power calculation</w:t>
            </w:r>
            <w:r>
              <w:rPr>
                <w:rFonts w:ascii="Arial" w:hAnsi="Arial" w:cs="Arial"/>
              </w:rPr>
              <w:t xml:space="preserve">. </w:t>
            </w:r>
          </w:p>
          <w:p w14:paraId="4FD18342" w14:textId="77777777" w:rsidR="00D52689" w:rsidRDefault="00D52689" w:rsidP="00D52689">
            <w:pPr>
              <w:pBdr>
                <w:top w:val="single" w:sz="2" w:space="1" w:color="FFFFFF"/>
                <w:left w:val="single" w:sz="2" w:space="0" w:color="FFFFFF"/>
                <w:bottom w:val="single" w:sz="2" w:space="2" w:color="FFFFFF"/>
                <w:right w:val="single" w:sz="2" w:space="4" w:color="FFFFFF"/>
              </w:pBdr>
              <w:ind w:right="141"/>
              <w:jc w:val="both"/>
              <w:rPr>
                <w:rFonts w:ascii="Arial" w:hAnsi="Arial" w:cs="Arial"/>
                <w:highlight w:val="yellow"/>
              </w:rPr>
            </w:pPr>
            <w:r w:rsidRPr="00C74807">
              <w:rPr>
                <w:rFonts w:ascii="Arial" w:hAnsi="Arial" w:cs="Arial"/>
              </w:rPr>
              <w:t xml:space="preserve">The Government has also provided additional funding for </w:t>
            </w:r>
            <w:r>
              <w:rPr>
                <w:rFonts w:ascii="Arial" w:hAnsi="Arial" w:cs="Arial"/>
              </w:rPr>
              <w:t>20</w:t>
            </w:r>
            <w:r w:rsidRPr="00C74807">
              <w:rPr>
                <w:rFonts w:ascii="Arial" w:hAnsi="Arial" w:cs="Arial"/>
              </w:rPr>
              <w:t xml:space="preserve">22/23 in the form of the Services Grant. </w:t>
            </w:r>
            <w:proofErr w:type="gramStart"/>
            <w:r w:rsidRPr="00C74807">
              <w:rPr>
                <w:rFonts w:ascii="Arial" w:hAnsi="Arial" w:cs="Arial"/>
              </w:rPr>
              <w:t>Again</w:t>
            </w:r>
            <w:proofErr w:type="gramEnd"/>
            <w:r w:rsidRPr="00C74807">
              <w:rPr>
                <w:rFonts w:ascii="Arial" w:hAnsi="Arial" w:cs="Arial"/>
              </w:rPr>
              <w:t xml:space="preserve"> this is non-recurring and non-ringfenced</w:t>
            </w:r>
            <w:r>
              <w:rPr>
                <w:rFonts w:ascii="Arial" w:hAnsi="Arial" w:cs="Arial"/>
              </w:rPr>
              <w:t xml:space="preserve"> grant</w:t>
            </w:r>
            <w:r w:rsidRPr="00C74807">
              <w:rPr>
                <w:rFonts w:ascii="Arial" w:hAnsi="Arial" w:cs="Arial"/>
              </w:rPr>
              <w:t xml:space="preserve">, </w:t>
            </w:r>
            <w:r>
              <w:rPr>
                <w:rFonts w:ascii="Arial" w:hAnsi="Arial" w:cs="Arial"/>
              </w:rPr>
              <w:t xml:space="preserve">that is </w:t>
            </w:r>
            <w:r w:rsidRPr="00C74807">
              <w:rPr>
                <w:rFonts w:ascii="Arial" w:hAnsi="Arial" w:cs="Arial"/>
              </w:rPr>
              <w:t>distributed on the same basis as the Lower Tier Serv</w:t>
            </w:r>
            <w:r>
              <w:rPr>
                <w:rFonts w:ascii="Arial" w:hAnsi="Arial" w:cs="Arial"/>
              </w:rPr>
              <w:t>i</w:t>
            </w:r>
            <w:r w:rsidRPr="00C74807">
              <w:rPr>
                <w:rFonts w:ascii="Arial" w:hAnsi="Arial" w:cs="Arial"/>
              </w:rPr>
              <w:t>ces Grant</w:t>
            </w:r>
            <w:r>
              <w:rPr>
                <w:rFonts w:ascii="Arial" w:hAnsi="Arial" w:cs="Arial"/>
              </w:rPr>
              <w:t>.</w:t>
            </w:r>
          </w:p>
          <w:p w14:paraId="10BD6580" w14:textId="33A55A5D" w:rsidR="000276ED" w:rsidRPr="005749EA" w:rsidRDefault="00D52689" w:rsidP="00D52689">
            <w:pPr>
              <w:rPr>
                <w:rFonts w:ascii="Arial" w:hAnsi="Arial" w:cs="Arial"/>
              </w:rPr>
            </w:pPr>
            <w:r w:rsidRPr="00C74807">
              <w:rPr>
                <w:rFonts w:ascii="Arial" w:hAnsi="Arial" w:cs="Arial"/>
              </w:rPr>
              <w:t>Both grants are non-recurring and as such they have not been included in the MTFS for 2023/24 or 2024/25;  the one-off nature of this funding stream does mean that the council continues to face significant financial uncertainty over the medium term.</w:t>
            </w:r>
          </w:p>
        </w:tc>
      </w:tr>
      <w:tr w:rsidR="008579B5" w:rsidRPr="00031B94" w14:paraId="121DD505" w14:textId="77777777" w:rsidTr="000276ED">
        <w:trPr>
          <w:trHeight w:val="454"/>
        </w:trPr>
        <w:tc>
          <w:tcPr>
            <w:tcW w:w="4342" w:type="dxa"/>
            <w:tcBorders>
              <w:left w:val="nil"/>
              <w:bottom w:val="nil"/>
              <w:right w:val="nil"/>
            </w:tcBorders>
            <w:vAlign w:val="center"/>
          </w:tcPr>
          <w:p w14:paraId="15B57957" w14:textId="77777777" w:rsidR="000276ED" w:rsidRDefault="000276ED" w:rsidP="000276ED">
            <w:pPr>
              <w:rPr>
                <w:rFonts w:ascii="Arial" w:hAnsi="Arial" w:cs="Arial"/>
                <w:b/>
                <w:bCs/>
                <w:lang w:eastAsia="en-GB"/>
              </w:rPr>
            </w:pPr>
          </w:p>
          <w:p w14:paraId="6DFCBB98" w14:textId="77777777" w:rsidR="000276ED" w:rsidRDefault="000276ED" w:rsidP="000276ED">
            <w:pPr>
              <w:rPr>
                <w:rFonts w:ascii="Arial" w:hAnsi="Arial" w:cs="Arial"/>
                <w:b/>
                <w:bCs/>
                <w:lang w:eastAsia="en-GB"/>
              </w:rPr>
            </w:pPr>
          </w:p>
          <w:p w14:paraId="13B5B0E1" w14:textId="77777777" w:rsidR="000276ED" w:rsidRDefault="000276ED" w:rsidP="000276ED">
            <w:pPr>
              <w:rPr>
                <w:rFonts w:ascii="Arial" w:hAnsi="Arial" w:cs="Arial"/>
                <w:b/>
                <w:bCs/>
                <w:lang w:eastAsia="en-GB"/>
              </w:rPr>
            </w:pPr>
          </w:p>
          <w:p w14:paraId="64FEDE3A" w14:textId="77777777" w:rsidR="000276ED" w:rsidRPr="00031B94" w:rsidRDefault="000276ED" w:rsidP="000276ED">
            <w:pPr>
              <w:rPr>
                <w:rFonts w:ascii="Arial" w:hAnsi="Arial" w:cs="Arial"/>
                <w:b/>
                <w:bCs/>
                <w:lang w:eastAsia="en-GB"/>
              </w:rPr>
            </w:pPr>
          </w:p>
        </w:tc>
        <w:tc>
          <w:tcPr>
            <w:tcW w:w="1482" w:type="dxa"/>
            <w:tcBorders>
              <w:left w:val="nil"/>
              <w:bottom w:val="nil"/>
              <w:right w:val="nil"/>
            </w:tcBorders>
            <w:vAlign w:val="center"/>
          </w:tcPr>
          <w:p w14:paraId="20A05208" w14:textId="77777777" w:rsidR="000276ED" w:rsidRPr="00031B94" w:rsidRDefault="000276ED" w:rsidP="000276ED">
            <w:pPr>
              <w:jc w:val="right"/>
              <w:rPr>
                <w:rFonts w:ascii="Arial" w:hAnsi="Arial" w:cs="Arial"/>
                <w:b/>
                <w:bCs/>
                <w:lang w:eastAsia="en-GB"/>
              </w:rPr>
            </w:pPr>
          </w:p>
        </w:tc>
        <w:tc>
          <w:tcPr>
            <w:tcW w:w="1415" w:type="dxa"/>
            <w:tcBorders>
              <w:left w:val="nil"/>
              <w:bottom w:val="nil"/>
              <w:right w:val="nil"/>
            </w:tcBorders>
            <w:vAlign w:val="center"/>
          </w:tcPr>
          <w:p w14:paraId="4177B328" w14:textId="77777777" w:rsidR="000276ED" w:rsidRPr="00031B94" w:rsidRDefault="000276ED" w:rsidP="000276ED">
            <w:pPr>
              <w:jc w:val="right"/>
              <w:rPr>
                <w:rFonts w:ascii="Arial" w:hAnsi="Arial" w:cs="Arial"/>
                <w:b/>
                <w:bCs/>
                <w:lang w:eastAsia="en-GB"/>
              </w:rPr>
            </w:pPr>
          </w:p>
        </w:tc>
        <w:tc>
          <w:tcPr>
            <w:tcW w:w="1274" w:type="dxa"/>
            <w:tcBorders>
              <w:left w:val="nil"/>
              <w:bottom w:val="nil"/>
              <w:right w:val="nil"/>
            </w:tcBorders>
            <w:vAlign w:val="center"/>
          </w:tcPr>
          <w:p w14:paraId="2820CC7D" w14:textId="77777777" w:rsidR="000276ED" w:rsidRPr="00031B94" w:rsidRDefault="000276ED" w:rsidP="000276ED">
            <w:pPr>
              <w:jc w:val="right"/>
              <w:rPr>
                <w:rFonts w:ascii="Arial" w:hAnsi="Arial" w:cs="Arial"/>
                <w:b/>
                <w:bCs/>
                <w:lang w:eastAsia="en-GB"/>
              </w:rPr>
            </w:pPr>
          </w:p>
        </w:tc>
        <w:tc>
          <w:tcPr>
            <w:tcW w:w="6337" w:type="dxa"/>
            <w:tcBorders>
              <w:left w:val="nil"/>
              <w:bottom w:val="nil"/>
              <w:right w:val="nil"/>
            </w:tcBorders>
            <w:vAlign w:val="center"/>
          </w:tcPr>
          <w:p w14:paraId="0D51B1C7" w14:textId="77777777" w:rsidR="000276ED" w:rsidRPr="00031B94" w:rsidRDefault="000276ED" w:rsidP="000276ED">
            <w:pPr>
              <w:rPr>
                <w:rFonts w:ascii="Arial" w:hAnsi="Arial" w:cs="Arial"/>
                <w:b/>
                <w:bCs/>
              </w:rPr>
            </w:pPr>
          </w:p>
        </w:tc>
      </w:tr>
    </w:tbl>
    <w:p w14:paraId="1D81DD5C" w14:textId="77777777" w:rsidR="000276ED" w:rsidRPr="00031B94" w:rsidRDefault="000276ED" w:rsidP="000276ED">
      <w:pPr>
        <w:rPr>
          <w:rFonts w:ascii="Arial" w:hAnsi="Arial" w:cs="Arial"/>
          <w:b/>
          <w:bCs/>
          <w:u w:val="single"/>
        </w:rPr>
      </w:pPr>
      <w:r w:rsidRPr="00031B94">
        <w:rPr>
          <w:rFonts w:ascii="Arial" w:hAnsi="Arial" w:cs="Arial"/>
          <w:b/>
          <w:bCs/>
          <w:u w:val="single"/>
        </w:rPr>
        <w:t>EXPENDITURE</w:t>
      </w:r>
    </w:p>
    <w:tbl>
      <w:tblPr>
        <w:tblStyle w:val="TableGrid"/>
        <w:tblW w:w="14850" w:type="dxa"/>
        <w:tblLook w:val="04A0" w:firstRow="1" w:lastRow="0" w:firstColumn="1" w:lastColumn="0" w:noHBand="0" w:noVBand="1"/>
      </w:tblPr>
      <w:tblGrid>
        <w:gridCol w:w="4390"/>
        <w:gridCol w:w="1417"/>
        <w:gridCol w:w="1418"/>
        <w:gridCol w:w="1275"/>
        <w:gridCol w:w="6350"/>
      </w:tblGrid>
      <w:tr w:rsidR="000276ED" w:rsidRPr="00C72033" w14:paraId="45C38642" w14:textId="77777777" w:rsidTr="00BF1781">
        <w:trPr>
          <w:trHeight w:val="454"/>
          <w:tblHeader/>
        </w:trPr>
        <w:tc>
          <w:tcPr>
            <w:tcW w:w="4390" w:type="dxa"/>
            <w:shd w:val="clear" w:color="auto" w:fill="548DD4" w:themeFill="text2" w:themeFillTint="99"/>
            <w:vAlign w:val="center"/>
          </w:tcPr>
          <w:p w14:paraId="1A15E346" w14:textId="77777777" w:rsidR="000276ED" w:rsidRPr="00C72033" w:rsidRDefault="000276ED" w:rsidP="000276ED">
            <w:pPr>
              <w:jc w:val="center"/>
              <w:rPr>
                <w:rFonts w:ascii="Arial" w:hAnsi="Arial" w:cs="Arial"/>
                <w:b/>
                <w:color w:val="FFFFFF" w:themeColor="background1"/>
              </w:rPr>
            </w:pPr>
            <w:bookmarkStart w:id="1" w:name="_Hlk63333890"/>
            <w:r w:rsidRPr="00C72033">
              <w:rPr>
                <w:rFonts w:ascii="Arial" w:hAnsi="Arial" w:cs="Arial"/>
                <w:b/>
                <w:color w:val="FFFFFF" w:themeColor="background1"/>
              </w:rPr>
              <w:t>Key Assumption</w:t>
            </w:r>
          </w:p>
        </w:tc>
        <w:tc>
          <w:tcPr>
            <w:tcW w:w="1417" w:type="dxa"/>
            <w:shd w:val="clear" w:color="auto" w:fill="548DD4" w:themeFill="text2" w:themeFillTint="99"/>
            <w:vAlign w:val="center"/>
          </w:tcPr>
          <w:p w14:paraId="54BCA788"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2</w:t>
            </w:r>
            <w:r>
              <w:rPr>
                <w:rFonts w:ascii="Arial" w:hAnsi="Arial" w:cs="Arial"/>
                <w:b/>
                <w:color w:val="FFFFFF" w:themeColor="background1"/>
              </w:rPr>
              <w:t>2</w:t>
            </w:r>
            <w:r w:rsidRPr="00C72033">
              <w:rPr>
                <w:rFonts w:ascii="Arial" w:hAnsi="Arial" w:cs="Arial"/>
                <w:b/>
                <w:color w:val="FFFFFF" w:themeColor="background1"/>
              </w:rPr>
              <w:t>/2</w:t>
            </w:r>
            <w:r>
              <w:rPr>
                <w:rFonts w:ascii="Arial" w:hAnsi="Arial" w:cs="Arial"/>
                <w:b/>
                <w:color w:val="FFFFFF" w:themeColor="background1"/>
              </w:rPr>
              <w:t>3</w:t>
            </w:r>
          </w:p>
        </w:tc>
        <w:tc>
          <w:tcPr>
            <w:tcW w:w="1418" w:type="dxa"/>
            <w:shd w:val="clear" w:color="auto" w:fill="548DD4" w:themeFill="text2" w:themeFillTint="99"/>
            <w:vAlign w:val="center"/>
          </w:tcPr>
          <w:p w14:paraId="6473E199"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2</w:t>
            </w:r>
            <w:r>
              <w:rPr>
                <w:rFonts w:ascii="Arial" w:hAnsi="Arial" w:cs="Arial"/>
                <w:b/>
                <w:color w:val="FFFFFF" w:themeColor="background1"/>
              </w:rPr>
              <w:t>3</w:t>
            </w:r>
            <w:r w:rsidRPr="00C72033">
              <w:rPr>
                <w:rFonts w:ascii="Arial" w:hAnsi="Arial" w:cs="Arial"/>
                <w:b/>
                <w:color w:val="FFFFFF" w:themeColor="background1"/>
              </w:rPr>
              <w:t>/2</w:t>
            </w:r>
            <w:r>
              <w:rPr>
                <w:rFonts w:ascii="Arial" w:hAnsi="Arial" w:cs="Arial"/>
                <w:b/>
                <w:color w:val="FFFFFF" w:themeColor="background1"/>
              </w:rPr>
              <w:t>4</w:t>
            </w:r>
          </w:p>
        </w:tc>
        <w:tc>
          <w:tcPr>
            <w:tcW w:w="1275" w:type="dxa"/>
            <w:shd w:val="clear" w:color="auto" w:fill="548DD4" w:themeFill="text2" w:themeFillTint="99"/>
            <w:vAlign w:val="center"/>
          </w:tcPr>
          <w:p w14:paraId="4CA29894"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2</w:t>
            </w:r>
            <w:r>
              <w:rPr>
                <w:rFonts w:ascii="Arial" w:hAnsi="Arial" w:cs="Arial"/>
                <w:b/>
                <w:color w:val="FFFFFF" w:themeColor="background1"/>
              </w:rPr>
              <w:t>4</w:t>
            </w:r>
            <w:r w:rsidRPr="00C72033">
              <w:rPr>
                <w:rFonts w:ascii="Arial" w:hAnsi="Arial" w:cs="Arial"/>
                <w:b/>
                <w:color w:val="FFFFFF" w:themeColor="background1"/>
              </w:rPr>
              <w:t>/2</w:t>
            </w:r>
            <w:r>
              <w:rPr>
                <w:rFonts w:ascii="Arial" w:hAnsi="Arial" w:cs="Arial"/>
                <w:b/>
                <w:color w:val="FFFFFF" w:themeColor="background1"/>
              </w:rPr>
              <w:t>5</w:t>
            </w:r>
          </w:p>
        </w:tc>
        <w:tc>
          <w:tcPr>
            <w:tcW w:w="6350" w:type="dxa"/>
            <w:shd w:val="clear" w:color="auto" w:fill="548DD4" w:themeFill="text2" w:themeFillTint="99"/>
            <w:vAlign w:val="center"/>
          </w:tcPr>
          <w:p w14:paraId="14C4321F" w14:textId="77777777" w:rsidR="000276ED" w:rsidRPr="00C72033" w:rsidRDefault="000276ED" w:rsidP="000276ED">
            <w:pPr>
              <w:jc w:val="center"/>
              <w:rPr>
                <w:rFonts w:ascii="Arial" w:hAnsi="Arial" w:cs="Arial"/>
                <w:b/>
                <w:color w:val="FFFFFF" w:themeColor="background1"/>
              </w:rPr>
            </w:pPr>
            <w:r w:rsidRPr="00C72033">
              <w:rPr>
                <w:rFonts w:ascii="Arial" w:hAnsi="Arial" w:cs="Arial"/>
                <w:b/>
                <w:color w:val="FFFFFF" w:themeColor="background1"/>
              </w:rPr>
              <w:t>Comment</w:t>
            </w:r>
          </w:p>
        </w:tc>
      </w:tr>
      <w:tr w:rsidR="000276ED" w:rsidRPr="00C72033" w14:paraId="656B0DDA" w14:textId="77777777" w:rsidTr="00BF1781">
        <w:trPr>
          <w:trHeight w:val="454"/>
        </w:trPr>
        <w:tc>
          <w:tcPr>
            <w:tcW w:w="4390" w:type="dxa"/>
            <w:vAlign w:val="center"/>
          </w:tcPr>
          <w:p w14:paraId="79027840" w14:textId="77777777" w:rsidR="000276ED" w:rsidRPr="00C72033" w:rsidRDefault="000276ED" w:rsidP="000276ED">
            <w:pPr>
              <w:rPr>
                <w:rFonts w:ascii="Arial" w:hAnsi="Arial" w:cs="Arial"/>
                <w:lang w:eastAsia="en-GB"/>
              </w:rPr>
            </w:pPr>
            <w:r>
              <w:rPr>
                <w:rFonts w:ascii="Arial" w:hAnsi="Arial" w:cs="Arial"/>
                <w:lang w:eastAsia="en-GB"/>
              </w:rPr>
              <w:t>Pay Award 21/22</w:t>
            </w:r>
          </w:p>
        </w:tc>
        <w:tc>
          <w:tcPr>
            <w:tcW w:w="1417" w:type="dxa"/>
            <w:vAlign w:val="center"/>
          </w:tcPr>
          <w:p w14:paraId="6ECC2D21" w14:textId="77777777" w:rsidR="000276ED" w:rsidRPr="00C72033" w:rsidRDefault="000276ED" w:rsidP="000276ED">
            <w:pPr>
              <w:jc w:val="right"/>
              <w:rPr>
                <w:rFonts w:ascii="Arial" w:hAnsi="Arial" w:cs="Arial"/>
                <w:lang w:eastAsia="en-GB"/>
              </w:rPr>
            </w:pPr>
            <w:r>
              <w:rPr>
                <w:rFonts w:ascii="Arial" w:hAnsi="Arial" w:cs="Arial"/>
                <w:lang w:eastAsia="en-GB"/>
              </w:rPr>
              <w:t>1.75%</w:t>
            </w:r>
          </w:p>
        </w:tc>
        <w:tc>
          <w:tcPr>
            <w:tcW w:w="1418" w:type="dxa"/>
            <w:vAlign w:val="center"/>
          </w:tcPr>
          <w:p w14:paraId="29EC2AD3" w14:textId="77777777" w:rsidR="000276ED" w:rsidRPr="00C72033" w:rsidRDefault="000276ED" w:rsidP="000276ED">
            <w:pPr>
              <w:jc w:val="right"/>
              <w:rPr>
                <w:rFonts w:ascii="Arial" w:hAnsi="Arial" w:cs="Arial"/>
                <w:lang w:eastAsia="en-GB"/>
              </w:rPr>
            </w:pPr>
            <w:r>
              <w:rPr>
                <w:rFonts w:ascii="Arial" w:hAnsi="Arial" w:cs="Arial"/>
                <w:lang w:eastAsia="en-GB"/>
              </w:rPr>
              <w:t>1.75%</w:t>
            </w:r>
          </w:p>
        </w:tc>
        <w:tc>
          <w:tcPr>
            <w:tcW w:w="1275" w:type="dxa"/>
            <w:vAlign w:val="center"/>
          </w:tcPr>
          <w:p w14:paraId="6433A06A" w14:textId="77777777" w:rsidR="000276ED" w:rsidRPr="00C72033" w:rsidRDefault="000276ED" w:rsidP="000276ED">
            <w:pPr>
              <w:jc w:val="right"/>
              <w:rPr>
                <w:rFonts w:ascii="Arial" w:hAnsi="Arial" w:cs="Arial"/>
                <w:lang w:eastAsia="en-GB"/>
              </w:rPr>
            </w:pPr>
            <w:r>
              <w:rPr>
                <w:rFonts w:ascii="Arial" w:hAnsi="Arial" w:cs="Arial"/>
                <w:lang w:eastAsia="en-GB"/>
              </w:rPr>
              <w:t>1.75%</w:t>
            </w:r>
          </w:p>
        </w:tc>
        <w:tc>
          <w:tcPr>
            <w:tcW w:w="6350" w:type="dxa"/>
            <w:vAlign w:val="center"/>
          </w:tcPr>
          <w:p w14:paraId="2B9DF274" w14:textId="2E4BBDFF" w:rsidR="000276ED" w:rsidRPr="00C72033" w:rsidRDefault="000276ED" w:rsidP="000276ED">
            <w:pPr>
              <w:rPr>
                <w:rFonts w:ascii="Arial" w:hAnsi="Arial" w:cs="Arial"/>
              </w:rPr>
            </w:pPr>
            <w:r>
              <w:rPr>
                <w:rFonts w:ascii="Arial" w:hAnsi="Arial" w:cs="Arial"/>
              </w:rPr>
              <w:t xml:space="preserve">The Government spending review announced a pay freeze in 2021/22 for </w:t>
            </w:r>
            <w:proofErr w:type="gramStart"/>
            <w:r>
              <w:rPr>
                <w:rFonts w:ascii="Arial" w:hAnsi="Arial" w:cs="Arial"/>
              </w:rPr>
              <w:t>the majority of</w:t>
            </w:r>
            <w:proofErr w:type="gramEnd"/>
            <w:r>
              <w:rPr>
                <w:rFonts w:ascii="Arial" w:hAnsi="Arial" w:cs="Arial"/>
              </w:rPr>
              <w:t xml:space="preserve"> public sector staff with a guaranteed a pay rise of at least £250 for all staff that earn less than £24,000 per year. Following NJCC negotiations, a final offer of 1.75% has been made by the Employers. Although rejected by the public sector unions, in the absence </w:t>
            </w:r>
            <w:r>
              <w:rPr>
                <w:rFonts w:ascii="Arial" w:hAnsi="Arial" w:cs="Arial"/>
              </w:rPr>
              <w:lastRenderedPageBreak/>
              <w:t xml:space="preserve">of further information, this level of award has been assumed in the pay budget for South Ribble </w:t>
            </w:r>
            <w:r w:rsidR="000338B0">
              <w:rPr>
                <w:rFonts w:ascii="Arial" w:hAnsi="Arial" w:cs="Arial"/>
              </w:rPr>
              <w:t xml:space="preserve">Borough </w:t>
            </w:r>
            <w:r>
              <w:rPr>
                <w:rFonts w:ascii="Arial" w:hAnsi="Arial" w:cs="Arial"/>
              </w:rPr>
              <w:t>Council in 2022/23.</w:t>
            </w:r>
          </w:p>
        </w:tc>
      </w:tr>
      <w:tr w:rsidR="000276ED" w:rsidRPr="00C72033" w14:paraId="71848897" w14:textId="77777777" w:rsidTr="00BF1781">
        <w:trPr>
          <w:trHeight w:val="454"/>
        </w:trPr>
        <w:tc>
          <w:tcPr>
            <w:tcW w:w="4390" w:type="dxa"/>
            <w:vAlign w:val="center"/>
          </w:tcPr>
          <w:p w14:paraId="56FF497F" w14:textId="77777777" w:rsidR="000276ED" w:rsidRPr="00C72033" w:rsidRDefault="000276ED" w:rsidP="000276ED">
            <w:pPr>
              <w:rPr>
                <w:rFonts w:ascii="Arial" w:hAnsi="Arial" w:cs="Arial"/>
                <w:lang w:eastAsia="en-GB"/>
              </w:rPr>
            </w:pPr>
            <w:r>
              <w:rPr>
                <w:rFonts w:ascii="Arial" w:hAnsi="Arial" w:cs="Arial"/>
                <w:lang w:eastAsia="en-GB"/>
              </w:rPr>
              <w:lastRenderedPageBreak/>
              <w:t>Pay Award 22/23</w:t>
            </w:r>
          </w:p>
        </w:tc>
        <w:tc>
          <w:tcPr>
            <w:tcW w:w="1417" w:type="dxa"/>
            <w:vAlign w:val="center"/>
          </w:tcPr>
          <w:p w14:paraId="1AB37D28" w14:textId="77777777" w:rsidR="000276ED" w:rsidRPr="00C72033" w:rsidRDefault="000276ED" w:rsidP="000276ED">
            <w:pPr>
              <w:jc w:val="right"/>
              <w:rPr>
                <w:rFonts w:ascii="Arial" w:hAnsi="Arial" w:cs="Arial"/>
              </w:rPr>
            </w:pPr>
            <w:r>
              <w:rPr>
                <w:rFonts w:ascii="Arial" w:hAnsi="Arial" w:cs="Arial"/>
              </w:rPr>
              <w:t>2.0%</w:t>
            </w:r>
          </w:p>
        </w:tc>
        <w:tc>
          <w:tcPr>
            <w:tcW w:w="1418" w:type="dxa"/>
            <w:vAlign w:val="center"/>
          </w:tcPr>
          <w:p w14:paraId="72D53035" w14:textId="77777777" w:rsidR="000276ED" w:rsidRPr="00C72033" w:rsidRDefault="000276ED" w:rsidP="000276ED">
            <w:pPr>
              <w:jc w:val="right"/>
              <w:rPr>
                <w:rFonts w:ascii="Arial" w:hAnsi="Arial" w:cs="Arial"/>
              </w:rPr>
            </w:pPr>
            <w:r>
              <w:rPr>
                <w:rFonts w:ascii="Arial" w:hAnsi="Arial" w:cs="Arial"/>
                <w:lang w:eastAsia="en-GB"/>
              </w:rPr>
              <w:t>2.0%</w:t>
            </w:r>
          </w:p>
        </w:tc>
        <w:tc>
          <w:tcPr>
            <w:tcW w:w="1275" w:type="dxa"/>
            <w:vAlign w:val="center"/>
          </w:tcPr>
          <w:p w14:paraId="77A768CC" w14:textId="77777777" w:rsidR="000276ED" w:rsidRPr="00C72033" w:rsidRDefault="000276ED" w:rsidP="000276ED">
            <w:pPr>
              <w:jc w:val="right"/>
              <w:rPr>
                <w:rFonts w:ascii="Arial" w:hAnsi="Arial" w:cs="Arial"/>
              </w:rPr>
            </w:pPr>
            <w:r>
              <w:rPr>
                <w:rFonts w:ascii="Arial" w:hAnsi="Arial" w:cs="Arial"/>
                <w:lang w:eastAsia="en-GB"/>
              </w:rPr>
              <w:t>2.0%</w:t>
            </w:r>
          </w:p>
        </w:tc>
        <w:tc>
          <w:tcPr>
            <w:tcW w:w="6350" w:type="dxa"/>
            <w:vAlign w:val="center"/>
          </w:tcPr>
          <w:p w14:paraId="6C6C4A93" w14:textId="415AA74E" w:rsidR="000276ED" w:rsidRDefault="000276ED" w:rsidP="000276ED">
            <w:pPr>
              <w:pBdr>
                <w:top w:val="single" w:sz="2" w:space="1" w:color="FFFFFF"/>
                <w:left w:val="single" w:sz="2" w:space="0" w:color="FFFFFF"/>
                <w:bottom w:val="single" w:sz="2" w:space="2" w:color="FFFFFF"/>
                <w:right w:val="single" w:sz="2" w:space="4" w:color="FFFFFF"/>
              </w:pBdr>
              <w:tabs>
                <w:tab w:val="left" w:pos="567"/>
              </w:tabs>
              <w:jc w:val="both"/>
              <w:rPr>
                <w:rFonts w:ascii="Arial" w:hAnsi="Arial" w:cs="Arial"/>
              </w:rPr>
            </w:pPr>
            <w:r>
              <w:rPr>
                <w:rFonts w:ascii="Arial" w:hAnsi="Arial" w:cs="Arial"/>
              </w:rPr>
              <w:t xml:space="preserve">The MTFS assumes a </w:t>
            </w:r>
            <w:r w:rsidRPr="00571359">
              <w:rPr>
                <w:rFonts w:ascii="Arial" w:hAnsi="Arial" w:cs="Arial"/>
              </w:rPr>
              <w:t xml:space="preserve">2% pay increase for all staff in </w:t>
            </w:r>
            <w:r>
              <w:rPr>
                <w:rFonts w:ascii="Arial" w:hAnsi="Arial" w:cs="Arial"/>
              </w:rPr>
              <w:t xml:space="preserve">each of the three years covered. </w:t>
            </w:r>
            <w:r w:rsidRPr="00571359">
              <w:rPr>
                <w:rFonts w:ascii="Arial" w:hAnsi="Arial" w:cs="Arial"/>
              </w:rPr>
              <w:t xml:space="preserve">This assumption adds approximately </w:t>
            </w:r>
            <w:r w:rsidRPr="001A5807">
              <w:rPr>
                <w:rFonts w:ascii="Arial" w:hAnsi="Arial" w:cs="Arial"/>
              </w:rPr>
              <w:t>£2</w:t>
            </w:r>
            <w:r w:rsidR="001A5807" w:rsidRPr="001A5807">
              <w:rPr>
                <w:rFonts w:ascii="Arial" w:hAnsi="Arial" w:cs="Arial"/>
              </w:rPr>
              <w:t>30</w:t>
            </w:r>
            <w:r w:rsidRPr="001A5807">
              <w:rPr>
                <w:rFonts w:ascii="Arial" w:hAnsi="Arial" w:cs="Arial"/>
              </w:rPr>
              <w:t>k</w:t>
            </w:r>
            <w:r w:rsidRPr="00571359">
              <w:rPr>
                <w:rFonts w:ascii="Arial" w:hAnsi="Arial" w:cs="Arial"/>
              </w:rPr>
              <w:t xml:space="preserve"> to the pay budget each financial year.</w:t>
            </w:r>
          </w:p>
          <w:p w14:paraId="1175DBF9" w14:textId="4B8B0A72" w:rsidR="000276ED" w:rsidRPr="00C72033" w:rsidRDefault="000276ED" w:rsidP="000276ED">
            <w:pPr>
              <w:pBdr>
                <w:top w:val="single" w:sz="2" w:space="1" w:color="FFFFFF"/>
                <w:left w:val="single" w:sz="2" w:space="0" w:color="FFFFFF"/>
                <w:bottom w:val="single" w:sz="2" w:space="2" w:color="FFFFFF"/>
                <w:right w:val="single" w:sz="2" w:space="4" w:color="FFFFFF"/>
              </w:pBdr>
              <w:tabs>
                <w:tab w:val="left" w:pos="567"/>
              </w:tabs>
              <w:jc w:val="both"/>
              <w:rPr>
                <w:rFonts w:ascii="Arial" w:hAnsi="Arial" w:cs="Arial"/>
              </w:rPr>
            </w:pPr>
            <w:r w:rsidRPr="002A2B2A">
              <w:rPr>
                <w:rFonts w:ascii="Arial" w:hAnsi="Arial" w:cs="Arial"/>
              </w:rPr>
              <w:t xml:space="preserve">The spending review also announced that national living wage will rise from £8.91 to £9.50 an hour and will be extended to workers aged 23 and over from April 2022 This will not affect </w:t>
            </w:r>
            <w:r>
              <w:rPr>
                <w:rFonts w:ascii="Arial" w:hAnsi="Arial" w:cs="Arial"/>
              </w:rPr>
              <w:t>South Ribble</w:t>
            </w:r>
            <w:r w:rsidRPr="002A2B2A">
              <w:rPr>
                <w:rFonts w:ascii="Arial" w:hAnsi="Arial" w:cs="Arial"/>
              </w:rPr>
              <w:t xml:space="preserve"> </w:t>
            </w:r>
            <w:r w:rsidR="000338B0">
              <w:rPr>
                <w:rFonts w:ascii="Arial" w:hAnsi="Arial" w:cs="Arial"/>
              </w:rPr>
              <w:t xml:space="preserve">Borough </w:t>
            </w:r>
            <w:r w:rsidRPr="002A2B2A">
              <w:rPr>
                <w:rFonts w:ascii="Arial" w:hAnsi="Arial" w:cs="Arial"/>
              </w:rPr>
              <w:t>Council’s pay bands for 2022/23 as the council pays above this level already. No adjustments have been made for any further living wage increases as it is assumed that the council’s pay bands will continue to exceed this over the course of the MTFS.</w:t>
            </w:r>
          </w:p>
        </w:tc>
      </w:tr>
      <w:bookmarkEnd w:id="1"/>
      <w:tr w:rsidR="000276ED" w:rsidRPr="00C72033" w14:paraId="6A22FC45" w14:textId="77777777" w:rsidTr="00BF1781">
        <w:trPr>
          <w:trHeight w:val="454"/>
        </w:trPr>
        <w:tc>
          <w:tcPr>
            <w:tcW w:w="4390" w:type="dxa"/>
            <w:vAlign w:val="center"/>
          </w:tcPr>
          <w:p w14:paraId="0478FE59" w14:textId="77777777" w:rsidR="000276ED" w:rsidRPr="00C72033" w:rsidRDefault="000276ED" w:rsidP="000276ED">
            <w:pPr>
              <w:rPr>
                <w:rFonts w:ascii="Arial" w:hAnsi="Arial" w:cs="Arial"/>
                <w:lang w:eastAsia="en-GB"/>
              </w:rPr>
            </w:pPr>
            <w:r w:rsidRPr="005F4A17">
              <w:rPr>
                <w:rFonts w:ascii="Arial" w:hAnsi="Arial" w:cs="Arial"/>
                <w:lang w:eastAsia="en-GB"/>
              </w:rPr>
              <w:t>Vacancy Saving</w:t>
            </w:r>
          </w:p>
        </w:tc>
        <w:tc>
          <w:tcPr>
            <w:tcW w:w="1417" w:type="dxa"/>
            <w:vAlign w:val="center"/>
          </w:tcPr>
          <w:p w14:paraId="30C2489E" w14:textId="77777777" w:rsidR="000276ED" w:rsidRPr="00C72033" w:rsidRDefault="000276ED" w:rsidP="000276ED">
            <w:pPr>
              <w:jc w:val="right"/>
              <w:rPr>
                <w:rFonts w:ascii="Arial" w:hAnsi="Arial" w:cs="Arial"/>
              </w:rPr>
            </w:pPr>
            <w:r>
              <w:rPr>
                <w:rFonts w:ascii="Arial" w:hAnsi="Arial" w:cs="Arial"/>
              </w:rPr>
              <w:t>2.5%</w:t>
            </w:r>
          </w:p>
        </w:tc>
        <w:tc>
          <w:tcPr>
            <w:tcW w:w="1418" w:type="dxa"/>
            <w:vAlign w:val="center"/>
          </w:tcPr>
          <w:p w14:paraId="2868964A" w14:textId="77777777" w:rsidR="000276ED" w:rsidRPr="00C72033" w:rsidRDefault="000276ED" w:rsidP="000276ED">
            <w:pPr>
              <w:jc w:val="right"/>
              <w:rPr>
                <w:rFonts w:ascii="Arial" w:hAnsi="Arial" w:cs="Arial"/>
              </w:rPr>
            </w:pPr>
            <w:r>
              <w:rPr>
                <w:rFonts w:ascii="Arial" w:hAnsi="Arial" w:cs="Arial"/>
              </w:rPr>
              <w:t>2.5%</w:t>
            </w:r>
          </w:p>
        </w:tc>
        <w:tc>
          <w:tcPr>
            <w:tcW w:w="1275" w:type="dxa"/>
            <w:vAlign w:val="center"/>
          </w:tcPr>
          <w:p w14:paraId="4F5A53E6" w14:textId="77777777" w:rsidR="000276ED" w:rsidRPr="00C72033" w:rsidRDefault="000276ED" w:rsidP="000276ED">
            <w:pPr>
              <w:jc w:val="right"/>
              <w:rPr>
                <w:rFonts w:ascii="Arial" w:hAnsi="Arial" w:cs="Arial"/>
              </w:rPr>
            </w:pPr>
            <w:r>
              <w:rPr>
                <w:rFonts w:ascii="Arial" w:hAnsi="Arial" w:cs="Arial"/>
              </w:rPr>
              <w:t>2.5%</w:t>
            </w:r>
          </w:p>
        </w:tc>
        <w:tc>
          <w:tcPr>
            <w:tcW w:w="6350" w:type="dxa"/>
            <w:vAlign w:val="center"/>
          </w:tcPr>
          <w:p w14:paraId="57516F2D" w14:textId="7F168E66" w:rsidR="000276ED" w:rsidRPr="00C72033" w:rsidRDefault="00BE11AA" w:rsidP="000276ED">
            <w:pPr>
              <w:rPr>
                <w:rFonts w:ascii="Arial" w:hAnsi="Arial" w:cs="Arial"/>
              </w:rPr>
            </w:pPr>
            <w:r>
              <w:rPr>
                <w:rFonts w:ascii="Arial" w:hAnsi="Arial" w:cs="Arial"/>
              </w:rPr>
              <w:t xml:space="preserve">Given the inevitable turnover in staffing, there is </w:t>
            </w:r>
            <w:proofErr w:type="gramStart"/>
            <w:r>
              <w:rPr>
                <w:rFonts w:ascii="Arial" w:hAnsi="Arial" w:cs="Arial"/>
              </w:rPr>
              <w:t>more often than not</w:t>
            </w:r>
            <w:proofErr w:type="gramEnd"/>
            <w:r>
              <w:rPr>
                <w:rFonts w:ascii="Arial" w:hAnsi="Arial" w:cs="Arial"/>
              </w:rPr>
              <w:t xml:space="preserve"> a period of time between an employee leaving and their </w:t>
            </w:r>
            <w:r w:rsidRPr="001A5807">
              <w:rPr>
                <w:rFonts w:ascii="Arial" w:hAnsi="Arial" w:cs="Arial"/>
              </w:rPr>
              <w:t xml:space="preserve">replacement commencing in post. With turnover levels of approximately </w:t>
            </w:r>
            <w:r w:rsidR="001A5807" w:rsidRPr="001A5807">
              <w:rPr>
                <w:rFonts w:ascii="Arial" w:hAnsi="Arial" w:cs="Arial"/>
              </w:rPr>
              <w:t>10</w:t>
            </w:r>
            <w:r w:rsidRPr="001A5807">
              <w:rPr>
                <w:rFonts w:ascii="Arial" w:hAnsi="Arial" w:cs="Arial"/>
              </w:rPr>
              <w:t>% in 21/22, an assumption has been made that underspends of 2.5% will</w:t>
            </w:r>
            <w:r>
              <w:rPr>
                <w:rFonts w:ascii="Arial" w:hAnsi="Arial" w:cs="Arial"/>
              </w:rPr>
              <w:t xml:space="preserve"> be generated </w:t>
            </w:r>
            <w:proofErr w:type="gramStart"/>
            <w:r>
              <w:rPr>
                <w:rFonts w:ascii="Arial" w:hAnsi="Arial" w:cs="Arial"/>
              </w:rPr>
              <w:t>as a consequence of</w:t>
            </w:r>
            <w:proofErr w:type="gramEnd"/>
            <w:r>
              <w:rPr>
                <w:rFonts w:ascii="Arial" w:hAnsi="Arial" w:cs="Arial"/>
              </w:rPr>
              <w:t xml:space="preserve"> the timing of recruitment.</w:t>
            </w:r>
          </w:p>
        </w:tc>
      </w:tr>
      <w:tr w:rsidR="000276ED" w:rsidRPr="00C72033" w14:paraId="76BE2325" w14:textId="77777777" w:rsidTr="00BF1781">
        <w:trPr>
          <w:trHeight w:val="454"/>
        </w:trPr>
        <w:tc>
          <w:tcPr>
            <w:tcW w:w="4390" w:type="dxa"/>
            <w:vAlign w:val="center"/>
          </w:tcPr>
          <w:p w14:paraId="5B34C49F" w14:textId="77777777" w:rsidR="000276ED" w:rsidRPr="00C72033" w:rsidRDefault="000276ED" w:rsidP="000276ED">
            <w:pPr>
              <w:rPr>
                <w:rFonts w:ascii="Arial" w:hAnsi="Arial" w:cs="Arial"/>
                <w:lang w:eastAsia="en-GB"/>
              </w:rPr>
            </w:pPr>
            <w:r>
              <w:rPr>
                <w:rFonts w:ascii="Arial" w:hAnsi="Arial" w:cs="Arial"/>
                <w:lang w:eastAsia="en-GB"/>
              </w:rPr>
              <w:t>Future Service Pension Rate</w:t>
            </w:r>
          </w:p>
        </w:tc>
        <w:tc>
          <w:tcPr>
            <w:tcW w:w="1417" w:type="dxa"/>
            <w:vAlign w:val="center"/>
          </w:tcPr>
          <w:p w14:paraId="1267F4A3" w14:textId="07E79215" w:rsidR="000276ED" w:rsidRPr="00BF1781" w:rsidRDefault="000276ED" w:rsidP="000276ED">
            <w:pPr>
              <w:jc w:val="right"/>
              <w:rPr>
                <w:rFonts w:ascii="Arial" w:hAnsi="Arial" w:cs="Arial"/>
                <w:lang w:eastAsia="en-GB"/>
              </w:rPr>
            </w:pPr>
            <w:r w:rsidRPr="00BF1781">
              <w:rPr>
                <w:rFonts w:ascii="Arial" w:hAnsi="Arial" w:cs="Arial"/>
                <w:lang w:eastAsia="en-GB"/>
              </w:rPr>
              <w:t>1</w:t>
            </w:r>
            <w:r w:rsidR="00BF1781" w:rsidRPr="00BF1781">
              <w:rPr>
                <w:rFonts w:ascii="Arial" w:hAnsi="Arial" w:cs="Arial"/>
                <w:lang w:eastAsia="en-GB"/>
              </w:rPr>
              <w:t>7.1</w:t>
            </w:r>
            <w:r w:rsidRPr="00BF1781">
              <w:rPr>
                <w:rFonts w:ascii="Arial" w:hAnsi="Arial" w:cs="Arial"/>
                <w:lang w:eastAsia="en-GB"/>
              </w:rPr>
              <w:t>%</w:t>
            </w:r>
          </w:p>
        </w:tc>
        <w:tc>
          <w:tcPr>
            <w:tcW w:w="1418" w:type="dxa"/>
            <w:vAlign w:val="center"/>
          </w:tcPr>
          <w:p w14:paraId="3920C1C5" w14:textId="5A5BA599" w:rsidR="000276ED" w:rsidRPr="00BF1781" w:rsidRDefault="000276ED" w:rsidP="000276ED">
            <w:pPr>
              <w:jc w:val="right"/>
              <w:rPr>
                <w:rFonts w:ascii="Arial" w:hAnsi="Arial" w:cs="Arial"/>
                <w:lang w:eastAsia="en-GB"/>
              </w:rPr>
            </w:pPr>
            <w:r w:rsidRPr="00BF1781">
              <w:rPr>
                <w:rFonts w:ascii="Arial" w:hAnsi="Arial" w:cs="Arial"/>
                <w:lang w:eastAsia="en-GB"/>
              </w:rPr>
              <w:t>1</w:t>
            </w:r>
            <w:r w:rsidR="00BF1781" w:rsidRPr="00BF1781">
              <w:rPr>
                <w:rFonts w:ascii="Arial" w:hAnsi="Arial" w:cs="Arial"/>
                <w:lang w:eastAsia="en-GB"/>
              </w:rPr>
              <w:t>7.1</w:t>
            </w:r>
            <w:r w:rsidRPr="00BF1781">
              <w:rPr>
                <w:rFonts w:ascii="Arial" w:hAnsi="Arial" w:cs="Arial"/>
                <w:lang w:eastAsia="en-GB"/>
              </w:rPr>
              <w:t>%</w:t>
            </w:r>
          </w:p>
        </w:tc>
        <w:tc>
          <w:tcPr>
            <w:tcW w:w="1275" w:type="dxa"/>
            <w:vAlign w:val="center"/>
          </w:tcPr>
          <w:p w14:paraId="38B67104" w14:textId="21F3F628" w:rsidR="000276ED" w:rsidRPr="00BF1781" w:rsidRDefault="000276ED" w:rsidP="000276ED">
            <w:pPr>
              <w:jc w:val="right"/>
              <w:rPr>
                <w:rFonts w:ascii="Arial" w:hAnsi="Arial" w:cs="Arial"/>
                <w:lang w:eastAsia="en-GB"/>
              </w:rPr>
            </w:pPr>
            <w:r w:rsidRPr="00BF1781">
              <w:rPr>
                <w:rFonts w:ascii="Arial" w:hAnsi="Arial" w:cs="Arial"/>
                <w:lang w:eastAsia="en-GB"/>
              </w:rPr>
              <w:t>1</w:t>
            </w:r>
            <w:r w:rsidR="00BF1781" w:rsidRPr="00BF1781">
              <w:rPr>
                <w:rFonts w:ascii="Arial" w:hAnsi="Arial" w:cs="Arial"/>
                <w:lang w:eastAsia="en-GB"/>
              </w:rPr>
              <w:t>7.1</w:t>
            </w:r>
            <w:r w:rsidRPr="00BF1781">
              <w:rPr>
                <w:rFonts w:ascii="Arial" w:hAnsi="Arial" w:cs="Arial"/>
                <w:lang w:eastAsia="en-GB"/>
              </w:rPr>
              <w:t>%</w:t>
            </w:r>
          </w:p>
        </w:tc>
        <w:tc>
          <w:tcPr>
            <w:tcW w:w="6350" w:type="dxa"/>
            <w:vAlign w:val="center"/>
          </w:tcPr>
          <w:p w14:paraId="4A1A871C" w14:textId="51923EB4" w:rsidR="000276ED" w:rsidRPr="00C72033" w:rsidRDefault="000276ED" w:rsidP="000276ED">
            <w:pPr>
              <w:pBdr>
                <w:top w:val="single" w:sz="2" w:space="1" w:color="FFFFFF"/>
                <w:left w:val="single" w:sz="2" w:space="0" w:color="FFFFFF"/>
                <w:bottom w:val="single" w:sz="2" w:space="2" w:color="FFFFFF"/>
                <w:right w:val="single" w:sz="2" w:space="4" w:color="FFFFFF"/>
              </w:pBdr>
              <w:tabs>
                <w:tab w:val="left" w:pos="567"/>
              </w:tabs>
              <w:jc w:val="both"/>
              <w:rPr>
                <w:rFonts w:ascii="Arial" w:hAnsi="Arial" w:cs="Arial"/>
              </w:rPr>
            </w:pPr>
            <w:r w:rsidRPr="002A2B2A">
              <w:rPr>
                <w:rFonts w:ascii="Arial" w:hAnsi="Arial" w:cs="Arial"/>
              </w:rPr>
              <w:t xml:space="preserve">As part of their triennial pension review in 2019, the Lancashire County Pension Fund announced an increase in employer pension contributions for the council </w:t>
            </w:r>
            <w:r w:rsidRPr="00BF1781">
              <w:rPr>
                <w:rFonts w:ascii="Arial" w:hAnsi="Arial" w:cs="Arial"/>
              </w:rPr>
              <w:t>from 14.</w:t>
            </w:r>
            <w:r w:rsidR="00BF1781" w:rsidRPr="00BF1781">
              <w:rPr>
                <w:rFonts w:ascii="Arial" w:hAnsi="Arial" w:cs="Arial"/>
              </w:rPr>
              <w:t>9</w:t>
            </w:r>
            <w:r w:rsidRPr="00BF1781">
              <w:rPr>
                <w:rFonts w:ascii="Arial" w:hAnsi="Arial" w:cs="Arial"/>
              </w:rPr>
              <w:t>% to 1</w:t>
            </w:r>
            <w:r w:rsidR="00BF1781" w:rsidRPr="00BF1781">
              <w:rPr>
                <w:rFonts w:ascii="Arial" w:hAnsi="Arial" w:cs="Arial"/>
              </w:rPr>
              <w:t>7.1</w:t>
            </w:r>
            <w:r w:rsidRPr="00BF1781">
              <w:rPr>
                <w:rFonts w:ascii="Arial" w:hAnsi="Arial" w:cs="Arial"/>
              </w:rPr>
              <w:t>%</w:t>
            </w:r>
            <w:r w:rsidRPr="002A2B2A">
              <w:rPr>
                <w:rFonts w:ascii="Arial" w:hAnsi="Arial" w:cs="Arial"/>
              </w:rPr>
              <w:t xml:space="preserve"> for each of the three financial years 2020/21 to 2022/23, to meet the future costs of the scheme. </w:t>
            </w:r>
            <w:r>
              <w:rPr>
                <w:rFonts w:ascii="Arial" w:hAnsi="Arial" w:cs="Arial"/>
              </w:rPr>
              <w:t>Within the MTFS, t</w:t>
            </w:r>
            <w:r w:rsidRPr="002A2B2A">
              <w:rPr>
                <w:rFonts w:ascii="Arial" w:hAnsi="Arial" w:cs="Arial"/>
              </w:rPr>
              <w:t>he same contribution rate is assumed for 2023/24 and 2024/25, although this will be reviewed when the new three-year review is undertaken later this year</w:t>
            </w:r>
            <w:r>
              <w:rPr>
                <w:rFonts w:ascii="Arial" w:hAnsi="Arial" w:cs="Arial"/>
              </w:rPr>
              <w:t>.</w:t>
            </w:r>
          </w:p>
        </w:tc>
      </w:tr>
      <w:tr w:rsidR="000276ED" w:rsidRPr="00C72033" w14:paraId="3B867808" w14:textId="77777777" w:rsidTr="00BF1781">
        <w:trPr>
          <w:trHeight w:val="454"/>
        </w:trPr>
        <w:tc>
          <w:tcPr>
            <w:tcW w:w="4390" w:type="dxa"/>
            <w:vAlign w:val="center"/>
          </w:tcPr>
          <w:p w14:paraId="79E7ADEF" w14:textId="77777777" w:rsidR="000276ED" w:rsidRDefault="000276ED" w:rsidP="000276ED">
            <w:pPr>
              <w:rPr>
                <w:rFonts w:ascii="Arial" w:hAnsi="Arial" w:cs="Arial"/>
                <w:lang w:eastAsia="en-GB"/>
              </w:rPr>
            </w:pPr>
            <w:r>
              <w:rPr>
                <w:rFonts w:ascii="Arial" w:hAnsi="Arial" w:cs="Arial"/>
                <w:lang w:eastAsia="en-GB"/>
              </w:rPr>
              <w:t>Covid-19</w:t>
            </w:r>
          </w:p>
        </w:tc>
        <w:tc>
          <w:tcPr>
            <w:tcW w:w="1417" w:type="dxa"/>
            <w:vAlign w:val="center"/>
          </w:tcPr>
          <w:p w14:paraId="48089F89" w14:textId="77777777" w:rsidR="000276ED" w:rsidRPr="006B0E54" w:rsidRDefault="000276ED" w:rsidP="000276ED">
            <w:pPr>
              <w:jc w:val="center"/>
              <w:rPr>
                <w:rFonts w:ascii="Arial" w:hAnsi="Arial" w:cs="Arial"/>
              </w:rPr>
            </w:pPr>
            <w:r>
              <w:rPr>
                <w:rFonts w:ascii="Arial" w:hAnsi="Arial" w:cs="Arial"/>
              </w:rPr>
              <w:t>-</w:t>
            </w:r>
          </w:p>
        </w:tc>
        <w:tc>
          <w:tcPr>
            <w:tcW w:w="1418" w:type="dxa"/>
            <w:vAlign w:val="center"/>
          </w:tcPr>
          <w:p w14:paraId="0DDD3266" w14:textId="77777777" w:rsidR="000276ED" w:rsidRPr="006B0E54" w:rsidRDefault="000276ED" w:rsidP="000276ED">
            <w:pPr>
              <w:jc w:val="center"/>
              <w:rPr>
                <w:rFonts w:ascii="Arial" w:hAnsi="Arial" w:cs="Arial"/>
              </w:rPr>
            </w:pPr>
            <w:r>
              <w:rPr>
                <w:rFonts w:ascii="Arial" w:hAnsi="Arial" w:cs="Arial"/>
              </w:rPr>
              <w:t>-</w:t>
            </w:r>
          </w:p>
        </w:tc>
        <w:tc>
          <w:tcPr>
            <w:tcW w:w="1275" w:type="dxa"/>
            <w:vAlign w:val="center"/>
          </w:tcPr>
          <w:p w14:paraId="79E32E8B" w14:textId="77777777" w:rsidR="000276ED" w:rsidRPr="00B965B8" w:rsidRDefault="000276ED" w:rsidP="000276ED">
            <w:pPr>
              <w:jc w:val="center"/>
              <w:rPr>
                <w:rFonts w:ascii="Arial" w:hAnsi="Arial" w:cs="Arial"/>
              </w:rPr>
            </w:pPr>
            <w:r>
              <w:rPr>
                <w:rFonts w:ascii="Arial" w:hAnsi="Arial" w:cs="Arial"/>
              </w:rPr>
              <w:t>-</w:t>
            </w:r>
          </w:p>
        </w:tc>
        <w:tc>
          <w:tcPr>
            <w:tcW w:w="6350" w:type="dxa"/>
            <w:vAlign w:val="center"/>
          </w:tcPr>
          <w:p w14:paraId="1B7D933E" w14:textId="15C5B5D6" w:rsidR="000276ED" w:rsidRPr="00B965B8" w:rsidRDefault="00BF1781" w:rsidP="000276ED">
            <w:pPr>
              <w:pBdr>
                <w:top w:val="single" w:sz="2" w:space="1" w:color="FFFFFF"/>
                <w:left w:val="single" w:sz="2" w:space="0" w:color="FFFFFF"/>
                <w:bottom w:val="single" w:sz="2" w:space="2" w:color="FFFFFF"/>
                <w:right w:val="single" w:sz="2" w:space="4" w:color="FFFFFF"/>
              </w:pBdr>
              <w:tabs>
                <w:tab w:val="left" w:pos="567"/>
              </w:tabs>
              <w:jc w:val="both"/>
              <w:rPr>
                <w:rFonts w:ascii="Arial" w:hAnsi="Arial" w:cs="Arial"/>
              </w:rPr>
            </w:pPr>
            <w:r w:rsidRPr="00C466ED">
              <w:rPr>
                <w:rFonts w:ascii="Arial" w:hAnsi="Arial" w:cs="Arial"/>
              </w:rPr>
              <w:t>The pandemic has impacted on the council finances as well as the wider economic environment. The Government has provided funding to mitigate this risk which the council has utilised in part, but given that costs are expected to continue as we enter the stages of recovery, some of these funds have been placed into reserves to cushion the impact of this over the period of the MTFS.</w:t>
            </w:r>
            <w:r>
              <w:rPr>
                <w:rFonts w:ascii="Arial" w:hAnsi="Arial" w:cs="Arial"/>
              </w:rPr>
              <w:t xml:space="preserve"> </w:t>
            </w:r>
            <w:r w:rsidR="0084028F">
              <w:rPr>
                <w:rFonts w:ascii="Arial" w:hAnsi="Arial" w:cs="Arial"/>
              </w:rPr>
              <w:t xml:space="preserve">The council has increased the </w:t>
            </w:r>
            <w:proofErr w:type="spellStart"/>
            <w:r w:rsidR="0084028F">
              <w:rPr>
                <w:rFonts w:ascii="Arial" w:hAnsi="Arial" w:cs="Arial"/>
              </w:rPr>
              <w:t>Covid</w:t>
            </w:r>
            <w:proofErr w:type="spellEnd"/>
            <w:r w:rsidR="0084028F">
              <w:rPr>
                <w:rFonts w:ascii="Arial" w:hAnsi="Arial" w:cs="Arial"/>
              </w:rPr>
              <w:t xml:space="preserve"> Recovery reserve to further assist in this.</w:t>
            </w:r>
          </w:p>
        </w:tc>
      </w:tr>
    </w:tbl>
    <w:p w14:paraId="30B7A1D3" w14:textId="77777777" w:rsidR="000276ED" w:rsidRDefault="000276ED" w:rsidP="000276ED">
      <w:pPr>
        <w:rPr>
          <w:rFonts w:ascii="Arial" w:hAnsi="Arial" w:cs="Arial"/>
          <w:b/>
          <w:u w:val="single"/>
        </w:rPr>
        <w:sectPr w:rsidR="000276ED" w:rsidSect="000276ED">
          <w:pgSz w:w="16838" w:h="11906" w:orient="landscape"/>
          <w:pgMar w:top="720" w:right="720" w:bottom="720" w:left="720" w:header="708" w:footer="708" w:gutter="0"/>
          <w:pgNumType w:start="0"/>
          <w:cols w:space="708"/>
          <w:titlePg/>
          <w:docGrid w:linePitch="360"/>
        </w:sectPr>
      </w:pPr>
    </w:p>
    <w:p w14:paraId="3C83AD3D" w14:textId="18107F1C" w:rsidR="00E50260" w:rsidRDefault="00E50260" w:rsidP="00E50260">
      <w:pPr>
        <w:pStyle w:val="ListParagraph"/>
        <w:rPr>
          <w:rFonts w:ascii="Arial" w:hAnsi="Arial" w:cs="Arial"/>
          <w:szCs w:val="16"/>
        </w:rPr>
      </w:pPr>
    </w:p>
    <w:p w14:paraId="03C2C233" w14:textId="61A0DD04" w:rsidR="00E50260" w:rsidRDefault="00E50260" w:rsidP="00E50260">
      <w:pPr>
        <w:pStyle w:val="ListParagraph"/>
        <w:rPr>
          <w:rFonts w:ascii="Arial" w:hAnsi="Arial" w:cs="Arial"/>
          <w:szCs w:val="16"/>
        </w:rPr>
      </w:pPr>
    </w:p>
    <w:p w14:paraId="3D749BE9" w14:textId="77777777" w:rsidR="001F7540" w:rsidRPr="00B02F8B" w:rsidRDefault="001F7540" w:rsidP="001F7540">
      <w:pPr>
        <w:pStyle w:val="Heading1"/>
        <w:rPr>
          <w:rFonts w:asciiTheme="majorHAnsi" w:eastAsiaTheme="minorHAnsi" w:hAnsiTheme="majorHAnsi" w:cstheme="majorHAnsi"/>
          <w:color w:val="147FA8"/>
          <w:kern w:val="0"/>
          <w:sz w:val="28"/>
          <w:szCs w:val="28"/>
          <w:lang w:eastAsia="en-US"/>
        </w:rPr>
      </w:pPr>
      <w:r w:rsidRPr="00B02F8B">
        <w:rPr>
          <w:rFonts w:asciiTheme="majorHAnsi" w:eastAsiaTheme="minorHAnsi" w:hAnsiTheme="majorHAnsi" w:cstheme="majorHAnsi"/>
          <w:color w:val="147FA8"/>
          <w:kern w:val="0"/>
          <w:sz w:val="28"/>
          <w:szCs w:val="28"/>
          <w:lang w:eastAsia="en-US"/>
        </w:rPr>
        <w:t>PLANNING AND DELIVERY OF THE COUNCILS CORPORATE STRATEGY</w:t>
      </w:r>
    </w:p>
    <w:p w14:paraId="5B84B4CC" w14:textId="51650B88" w:rsidR="00986C8D" w:rsidRPr="00B02F8B" w:rsidRDefault="00986C8D"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B02F8B">
        <w:rPr>
          <w:rFonts w:ascii="Arial" w:hAnsi="Arial" w:cs="Arial"/>
        </w:rPr>
        <w:t xml:space="preserve">Despite these financial challenges, South Ribble Council continues to deliver projects that meet the priorities of its residents. These projects are outlined as part of the council’s Corporate Strategy. The Corporate Strategy provides a clear statement of what the council aims to achieve over the next three years. The strategy sets out not only the council’s vision, priorities, and long-term outcomes for the period 2021/22 – 2023/24 but also priority activities to be delivered through the corporate projects and how we intend to measure success over the year ahead. The Corporate Strategy identifies our key priorities as a council which are: </w:t>
      </w:r>
    </w:p>
    <w:p w14:paraId="1AC13BAD" w14:textId="77777777" w:rsidR="00875687" w:rsidRPr="00B02F8B" w:rsidRDefault="00875687" w:rsidP="00875687">
      <w:pPr>
        <w:pStyle w:val="ListParagraph"/>
        <w:numPr>
          <w:ilvl w:val="0"/>
          <w:numId w:val="36"/>
        </w:numPr>
        <w:spacing w:after="0"/>
        <w:jc w:val="both"/>
        <w:rPr>
          <w:rFonts w:asciiTheme="majorHAnsi" w:hAnsiTheme="majorHAnsi" w:cstheme="majorHAnsi"/>
          <w:color w:val="000000" w:themeColor="text1"/>
        </w:rPr>
      </w:pPr>
      <w:r w:rsidRPr="00B02F8B">
        <w:rPr>
          <w:rFonts w:asciiTheme="majorHAnsi" w:hAnsiTheme="majorHAnsi" w:cstheme="majorHAnsi"/>
          <w:color w:val="000000" w:themeColor="text1"/>
        </w:rPr>
        <w:t>an exemplary council</w:t>
      </w:r>
    </w:p>
    <w:p w14:paraId="021B0B5B" w14:textId="77777777" w:rsidR="00875687" w:rsidRPr="005E531A" w:rsidRDefault="00875687" w:rsidP="00875687">
      <w:pPr>
        <w:pStyle w:val="ListParagraph"/>
        <w:numPr>
          <w:ilvl w:val="0"/>
          <w:numId w:val="36"/>
        </w:numPr>
        <w:spacing w:after="0"/>
        <w:jc w:val="both"/>
        <w:rPr>
          <w:rFonts w:asciiTheme="majorHAnsi" w:hAnsiTheme="majorHAnsi" w:cstheme="majorHAnsi"/>
          <w:color w:val="000000" w:themeColor="text1"/>
        </w:rPr>
      </w:pPr>
      <w:r>
        <w:rPr>
          <w:rFonts w:asciiTheme="majorHAnsi" w:hAnsiTheme="majorHAnsi" w:cstheme="majorHAnsi"/>
          <w:color w:val="000000" w:themeColor="text1"/>
        </w:rPr>
        <w:t>t</w:t>
      </w:r>
      <w:r w:rsidRPr="005E531A">
        <w:rPr>
          <w:rFonts w:asciiTheme="majorHAnsi" w:hAnsiTheme="majorHAnsi" w:cstheme="majorHAnsi"/>
          <w:color w:val="000000" w:themeColor="text1"/>
        </w:rPr>
        <w:t>hriving communities</w:t>
      </w:r>
    </w:p>
    <w:p w14:paraId="628F5BAD" w14:textId="77777777" w:rsidR="00875687" w:rsidRPr="005E531A" w:rsidRDefault="00875687" w:rsidP="00875687">
      <w:pPr>
        <w:pStyle w:val="ListParagraph"/>
        <w:numPr>
          <w:ilvl w:val="0"/>
          <w:numId w:val="36"/>
        </w:numPr>
        <w:spacing w:after="0"/>
        <w:jc w:val="both"/>
        <w:rPr>
          <w:rFonts w:asciiTheme="majorHAnsi" w:hAnsiTheme="majorHAnsi" w:cstheme="majorHAnsi"/>
          <w:color w:val="000000" w:themeColor="text1"/>
        </w:rPr>
      </w:pPr>
      <w:r>
        <w:rPr>
          <w:rFonts w:asciiTheme="majorHAnsi" w:hAnsiTheme="majorHAnsi" w:cstheme="majorHAnsi"/>
          <w:color w:val="000000" w:themeColor="text1"/>
        </w:rPr>
        <w:t>a</w:t>
      </w:r>
      <w:r w:rsidRPr="005E531A">
        <w:rPr>
          <w:rFonts w:asciiTheme="majorHAnsi" w:hAnsiTheme="majorHAnsi" w:cstheme="majorHAnsi"/>
          <w:color w:val="000000" w:themeColor="text1"/>
        </w:rPr>
        <w:t xml:space="preserve"> fair local economy that works for everyone</w:t>
      </w:r>
    </w:p>
    <w:p w14:paraId="30BCEFD7" w14:textId="77777777" w:rsidR="00875687" w:rsidRPr="005E531A" w:rsidRDefault="00875687" w:rsidP="00875687">
      <w:pPr>
        <w:pStyle w:val="ListParagraph"/>
        <w:numPr>
          <w:ilvl w:val="0"/>
          <w:numId w:val="36"/>
        </w:numPr>
        <w:spacing w:after="0"/>
        <w:jc w:val="both"/>
        <w:rPr>
          <w:rFonts w:asciiTheme="majorHAnsi" w:hAnsiTheme="majorHAnsi" w:cstheme="majorHAnsi"/>
          <w:color w:val="000000" w:themeColor="text1"/>
        </w:rPr>
      </w:pPr>
      <w:r>
        <w:rPr>
          <w:rFonts w:asciiTheme="majorHAnsi" w:hAnsiTheme="majorHAnsi" w:cstheme="majorHAnsi"/>
          <w:color w:val="000000" w:themeColor="text1"/>
        </w:rPr>
        <w:t>g</w:t>
      </w:r>
      <w:r w:rsidRPr="005E531A">
        <w:rPr>
          <w:rFonts w:asciiTheme="majorHAnsi" w:hAnsiTheme="majorHAnsi" w:cstheme="majorHAnsi"/>
          <w:color w:val="000000" w:themeColor="text1"/>
        </w:rPr>
        <w:t>ood homes, green spaces, healthy places</w:t>
      </w:r>
    </w:p>
    <w:p w14:paraId="57340FA0" w14:textId="77777777" w:rsidR="00875687" w:rsidRDefault="00875687" w:rsidP="00875687">
      <w:pPr>
        <w:pBdr>
          <w:top w:val="single" w:sz="2" w:space="1" w:color="FFFFFF"/>
          <w:left w:val="single" w:sz="2" w:space="0" w:color="FFFFFF"/>
          <w:bottom w:val="single" w:sz="2" w:space="2" w:color="FFFFFF"/>
          <w:right w:val="single" w:sz="2" w:space="4" w:color="FFFFFF"/>
        </w:pBdr>
        <w:spacing w:after="0" w:line="240" w:lineRule="auto"/>
        <w:jc w:val="both"/>
        <w:rPr>
          <w:rFonts w:ascii="Arial" w:hAnsi="Arial" w:cs="Arial"/>
          <w:b/>
          <w:bCs/>
          <w:i/>
          <w:iCs/>
          <w:color w:val="548DD4" w:themeColor="text2" w:themeTint="99"/>
          <w:sz w:val="24"/>
          <w:szCs w:val="24"/>
          <w:highlight w:val="yellow"/>
        </w:rPr>
      </w:pPr>
    </w:p>
    <w:p w14:paraId="138DC24D" w14:textId="6E36DD7F" w:rsidR="00875687" w:rsidRPr="00531F47" w:rsidRDefault="00875687" w:rsidP="00875687">
      <w:pPr>
        <w:pBdr>
          <w:top w:val="single" w:sz="2" w:space="1" w:color="FFFFFF"/>
          <w:left w:val="single" w:sz="2" w:space="0" w:color="FFFFFF"/>
          <w:bottom w:val="single" w:sz="2" w:space="2" w:color="FFFFFF"/>
          <w:right w:val="single" w:sz="2" w:space="4" w:color="FFFFFF"/>
        </w:pBdr>
        <w:spacing w:after="0" w:line="240" w:lineRule="auto"/>
        <w:jc w:val="both"/>
        <w:rPr>
          <w:rFonts w:asciiTheme="majorHAnsi" w:hAnsiTheme="majorHAnsi" w:cstheme="majorHAnsi"/>
          <w:b/>
          <w:bCs/>
          <w:color w:val="000000" w:themeColor="text1"/>
        </w:rPr>
      </w:pPr>
      <w:r w:rsidRPr="00F33555">
        <w:rPr>
          <w:rFonts w:ascii="Arial" w:hAnsi="Arial" w:cs="Arial"/>
          <w:b/>
          <w:bCs/>
          <w:i/>
          <w:iCs/>
          <w:color w:val="548DD4" w:themeColor="text2" w:themeTint="99"/>
          <w:sz w:val="24"/>
          <w:szCs w:val="24"/>
        </w:rPr>
        <w:t>Corporate Strategy 2021/22 to 2023/24</w:t>
      </w:r>
      <w:r w:rsidRPr="00F33555">
        <w:rPr>
          <w:rFonts w:ascii="Arial" w:hAnsi="Arial" w:cs="Arial"/>
          <w:i/>
          <w:iCs/>
          <w:color w:val="548DD4" w:themeColor="text2" w:themeTint="99"/>
          <w:sz w:val="24"/>
          <w:szCs w:val="24"/>
        </w:rPr>
        <w:t xml:space="preserve"> </w:t>
      </w:r>
    </w:p>
    <w:p w14:paraId="2C783620" w14:textId="77777777" w:rsidR="00875687" w:rsidRPr="00875687" w:rsidRDefault="00875687" w:rsidP="00875687">
      <w:pPr>
        <w:pBdr>
          <w:top w:val="single" w:sz="2" w:space="1" w:color="FFFFFF"/>
          <w:left w:val="single" w:sz="2" w:space="0" w:color="FFFFFF"/>
          <w:bottom w:val="single" w:sz="2" w:space="2" w:color="FFFFFF"/>
          <w:right w:val="single" w:sz="2" w:space="4" w:color="FFFFFF"/>
        </w:pBdr>
        <w:spacing w:after="0" w:line="240" w:lineRule="auto"/>
        <w:jc w:val="both"/>
        <w:rPr>
          <w:rFonts w:ascii="Arial" w:hAnsi="Arial" w:cs="Arial"/>
          <w:highlight w:val="yellow"/>
        </w:rPr>
      </w:pPr>
    </w:p>
    <w:p w14:paraId="7320DA1D" w14:textId="4CCC1B26" w:rsidR="00875687" w:rsidRPr="00F33555" w:rsidRDefault="00875687"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F33555">
        <w:rPr>
          <w:rFonts w:ascii="Arial" w:hAnsi="Arial" w:cs="Arial"/>
        </w:rPr>
        <w:t xml:space="preserve">South </w:t>
      </w:r>
      <w:r w:rsidRPr="00F33555">
        <w:rPr>
          <w:rFonts w:asciiTheme="majorHAnsi" w:hAnsiTheme="majorHAnsi" w:cstheme="majorHAnsi"/>
          <w:color w:val="000000" w:themeColor="text1"/>
        </w:rPr>
        <w:t xml:space="preserve">Ribble </w:t>
      </w:r>
      <w:r w:rsidRPr="00F33555">
        <w:rPr>
          <w:rFonts w:ascii="Arial" w:hAnsi="Arial" w:cs="Arial"/>
        </w:rPr>
        <w:t xml:space="preserve">Council’s corporate strategy 2021/22 – 2023/24 was approved by Full Council on </w:t>
      </w:r>
      <w:r w:rsidR="00F33555" w:rsidRPr="00F33555">
        <w:rPr>
          <w:rFonts w:ascii="Arial" w:hAnsi="Arial" w:cs="Arial"/>
        </w:rPr>
        <w:t>24 November</w:t>
      </w:r>
      <w:r w:rsidRPr="00F33555">
        <w:rPr>
          <w:rFonts w:ascii="Arial" w:hAnsi="Arial" w:cs="Arial"/>
        </w:rPr>
        <w:t xml:space="preserve"> 2021. The focus of the Corporate Strategy to date has been on delivering schemes and initiatives that achieve visible and tangible outcomes against corporate priorities.</w:t>
      </w:r>
    </w:p>
    <w:p w14:paraId="451438BC" w14:textId="783D8664" w:rsidR="00875687" w:rsidRPr="00F33555" w:rsidRDefault="00875687" w:rsidP="00875687">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Arial" w:hAnsi="Arial" w:cs="Arial"/>
          <w:b/>
          <w:bCs/>
          <w:color w:val="FF0000"/>
        </w:rPr>
      </w:pPr>
    </w:p>
    <w:p w14:paraId="35B90610" w14:textId="1CEB4130" w:rsidR="00F33555" w:rsidRPr="002D4478" w:rsidRDefault="00875687"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F33555">
        <w:rPr>
          <w:rFonts w:ascii="Arial" w:hAnsi="Arial" w:cs="Arial"/>
        </w:rPr>
        <w:t xml:space="preserve">The Corporate Strategy for 2020/21 has progressed </w:t>
      </w:r>
      <w:r w:rsidR="00F33555" w:rsidRPr="00F33555">
        <w:t>well and delivered some key outcomes including new affordable housing units, implementing the new community hub model, progress with Worden Hall and the Leyland Town Deal and establishing a joint partnership comprised of key partners for Chorley and South Ribble</w:t>
      </w:r>
      <w:r w:rsidR="002D4478">
        <w:t>.</w:t>
      </w:r>
    </w:p>
    <w:p w14:paraId="4B2ADAB1" w14:textId="77777777" w:rsidR="002D4478" w:rsidRPr="002D4478" w:rsidRDefault="002D4478" w:rsidP="002D4478">
      <w:pPr>
        <w:pStyle w:val="ListParagraph"/>
        <w:rPr>
          <w:rFonts w:ascii="Arial" w:hAnsi="Arial" w:cs="Arial"/>
        </w:rPr>
      </w:pPr>
    </w:p>
    <w:p w14:paraId="7ADDB93A" w14:textId="4C2CFFD4" w:rsidR="002D4478" w:rsidRPr="002D4478" w:rsidRDefault="002D4478"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2D4478">
        <w:rPr>
          <w:rFonts w:ascii="Arial" w:hAnsi="Arial" w:cs="Arial"/>
        </w:rPr>
        <w:t xml:space="preserve">The </w:t>
      </w:r>
      <w:r w:rsidRPr="002D4478">
        <w:rPr>
          <w:rFonts w:ascii="Arial" w:hAnsi="Arial" w:cs="Arial"/>
        </w:rPr>
        <w:t xml:space="preserve">council continues to be an exemplary council with </w:t>
      </w:r>
      <w:r w:rsidRPr="002D4478">
        <w:t xml:space="preserve">the development of a joint partnership strategy to improve outcomes for residents by bringing public services together to make the best use of collective resources and further shared services have been developed ensuring the council can continue to deliver value for money, efficient and effective services to all residents. </w:t>
      </w:r>
      <w:r w:rsidRPr="002D4478">
        <w:rPr>
          <w:rFonts w:ascii="Arial" w:hAnsi="Arial" w:cs="Arial"/>
        </w:rPr>
        <w:t xml:space="preserve">The strategy has enabled communities to thrive through the development of community hubs in five neighbourhood areas, multiple food banks have been brought together through the council to form a network to help coordinate resources effectively and </w:t>
      </w:r>
      <w:r w:rsidRPr="002D4478">
        <w:t>mental health first aid sessions have been delivered to 43 officers who are now Mental Health First Aiders to help support young people</w:t>
      </w:r>
      <w:r>
        <w:t>.</w:t>
      </w:r>
    </w:p>
    <w:p w14:paraId="6096D570" w14:textId="77777777" w:rsidR="002D4478" w:rsidRPr="002D4478" w:rsidRDefault="002D4478" w:rsidP="002D4478">
      <w:pPr>
        <w:pStyle w:val="ListParagraph"/>
        <w:rPr>
          <w:rFonts w:ascii="Arial" w:hAnsi="Arial" w:cs="Arial"/>
        </w:rPr>
      </w:pPr>
    </w:p>
    <w:p w14:paraId="755F3590" w14:textId="30F4C8A2" w:rsidR="002D4478" w:rsidRPr="002D4478" w:rsidRDefault="002D4478"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t xml:space="preserve">‘A </w:t>
      </w:r>
      <w:r>
        <w:t>fair and local economy</w:t>
      </w:r>
      <w:r>
        <w:t>’</w:t>
      </w:r>
      <w:r>
        <w:t xml:space="preserve"> remained a top priority to ensure a strong recovery from </w:t>
      </w:r>
      <w:proofErr w:type="spellStart"/>
      <w:r>
        <w:t>C</w:t>
      </w:r>
      <w:r>
        <w:t>ovid</w:t>
      </w:r>
      <w:proofErr w:type="spellEnd"/>
      <w:r>
        <w:t xml:space="preserve"> with a programme of support and grants for businesses, and the opening of a credit union enabling access to financial services for those who may find it difficult to access high street banking.  The council has continued to deliver good homes, green </w:t>
      </w:r>
      <w:proofErr w:type="gramStart"/>
      <w:r>
        <w:t>spaces</w:t>
      </w:r>
      <w:proofErr w:type="gramEnd"/>
      <w:r>
        <w:t xml:space="preserve"> and healthy places to residents through completing its first development of affordable homes, with nine affordable apartments delivered through the Tom Hanson House project. The completion of the first scheme provides a strong foundation for the Council moving forward to deliver a further 15 new quality affordable homes in Bamber Bridge </w:t>
      </w:r>
      <w:r>
        <w:lastRenderedPageBreak/>
        <w:t>and to continue with consultation on delivering an Extra Care scheme, progressing to the second stage of its design</w:t>
      </w:r>
      <w:r>
        <w:t>.</w:t>
      </w:r>
    </w:p>
    <w:p w14:paraId="571B040E" w14:textId="77777777" w:rsidR="002D4478" w:rsidRPr="002D4478" w:rsidRDefault="002D4478" w:rsidP="002D4478">
      <w:pPr>
        <w:pStyle w:val="ListParagraph"/>
        <w:rPr>
          <w:rFonts w:ascii="Arial" w:hAnsi="Arial" w:cs="Arial"/>
        </w:rPr>
      </w:pPr>
    </w:p>
    <w:p w14:paraId="39C1B3C9" w14:textId="302632BC" w:rsidR="002D4478" w:rsidRPr="002D4478" w:rsidRDefault="002D4478"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t xml:space="preserve">For </w:t>
      </w:r>
      <w:r w:rsidRPr="00C06A09">
        <w:t xml:space="preserve">2021/22 – 2023/24 key projects have been identified for delivery including work to support thriving communities through the enhancement of community hubs and a programme of events and attractions to provide things to do and places to go. The Worden Hall complex will be completed as a flagship venue, more affordable housing will be developed, and the leisure centres will be revitalised through an extensive programme of improvement to ensure good homes, green </w:t>
      </w:r>
      <w:proofErr w:type="gramStart"/>
      <w:r w:rsidRPr="00C06A09">
        <w:t>spaces</w:t>
      </w:r>
      <w:proofErr w:type="gramEnd"/>
      <w:r w:rsidRPr="00C06A09">
        <w:t xml:space="preserve"> and healthy places. Across the borough, the council will support residents and businesses with advice and support so that they can get back on their feet following the pandemic driving forward the principles of cooperation and community wealth building. We will also drive forward plans to transform the town and village centres to promote a strong and inclusive economy. The Council will continue its improvement journey by delivering the recommendations of the peer challenge and develop more effective working practices in response to the changing environment, continuing to support our staff development. We will also work more closely with partners to ensure that services make sense for residents and customers. Addressing climate change is a major priority cutting across </w:t>
      </w:r>
      <w:proofErr w:type="gramStart"/>
      <w:r w:rsidRPr="00C06A09">
        <w:t>all of</w:t>
      </w:r>
      <w:proofErr w:type="gramEnd"/>
      <w:r w:rsidRPr="00C06A09">
        <w:t xml:space="preserve"> our projects, but the council will also undertake specific work to improve our own assets and proactively encourage positive action across the borough by providing infrastructure and incentives</w:t>
      </w:r>
      <w:r>
        <w:t>.</w:t>
      </w:r>
    </w:p>
    <w:p w14:paraId="2A3B95B5" w14:textId="77777777" w:rsidR="00875687" w:rsidRPr="002D4478" w:rsidRDefault="00875687" w:rsidP="00875687">
      <w:pPr>
        <w:pStyle w:val="ListParagraph"/>
        <w:rPr>
          <w:rFonts w:ascii="Arial" w:hAnsi="Arial" w:cs="Arial"/>
        </w:rPr>
      </w:pPr>
    </w:p>
    <w:p w14:paraId="600DDF83" w14:textId="4E72FE0E" w:rsidR="00875687" w:rsidRPr="00875687" w:rsidRDefault="00875687" w:rsidP="00B02F8B">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2D4478">
        <w:rPr>
          <w:rFonts w:ascii="Arial" w:hAnsi="Arial" w:cs="Arial"/>
        </w:rPr>
        <w:t>The Medium-Term Financial Strategy</w:t>
      </w:r>
      <w:r w:rsidRPr="00875687">
        <w:rPr>
          <w:rFonts w:ascii="Arial" w:hAnsi="Arial" w:cs="Arial"/>
        </w:rPr>
        <w:t xml:space="preserve"> delivers a budget that is robust and sustainable and that also delivers both the capital and revenue commitments required to deliver the corporate strategy priorities. A few of the key projects that have been delivered and will be delivered over the next 3 years are as follows:</w:t>
      </w:r>
    </w:p>
    <w:p w14:paraId="1B3D22D2" w14:textId="77777777" w:rsidR="00986C8D" w:rsidRPr="00F23BE7" w:rsidRDefault="00986C8D" w:rsidP="00986C8D">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left="1287"/>
        <w:jc w:val="both"/>
        <w:rPr>
          <w:rFonts w:ascii="Arial" w:hAnsi="Arial" w:cs="Arial"/>
          <w:i/>
          <w:iCs/>
          <w:highlight w:val="yellow"/>
        </w:rPr>
      </w:pPr>
    </w:p>
    <w:p w14:paraId="7D64B7CA" w14:textId="2442474D" w:rsidR="00986C8D" w:rsidRPr="00101CA8" w:rsidRDefault="0063725F" w:rsidP="00986C8D">
      <w:pPr>
        <w:pStyle w:val="ListParagraph"/>
        <w:ind w:left="1080"/>
        <w:rPr>
          <w:rFonts w:ascii="Arial" w:hAnsi="Arial" w:cs="Arial"/>
          <w:b/>
          <w:color w:val="548DD4" w:themeColor="text2" w:themeTint="99"/>
        </w:rPr>
      </w:pPr>
      <w:r w:rsidRPr="00101CA8">
        <w:rPr>
          <w:rFonts w:ascii="Arial" w:hAnsi="Arial" w:cs="Arial"/>
          <w:b/>
          <w:color w:val="548DD4" w:themeColor="text2" w:themeTint="99"/>
        </w:rPr>
        <w:t>An exemplary council</w:t>
      </w:r>
    </w:p>
    <w:p w14:paraId="1BEBB114" w14:textId="77777777" w:rsidR="00986C8D" w:rsidRPr="00CC2EC3" w:rsidRDefault="00986C8D" w:rsidP="009B0A72">
      <w:pPr>
        <w:spacing w:after="0"/>
        <w:ind w:left="1080"/>
        <w:rPr>
          <w:rFonts w:ascii="Arial" w:hAnsi="Arial" w:cs="Arial"/>
          <w:b/>
          <w:bCs/>
          <w:i/>
          <w:iCs/>
          <w:lang w:val="en-US"/>
        </w:rPr>
      </w:pPr>
      <w:r>
        <w:rPr>
          <w:rFonts w:ascii="Arial" w:hAnsi="Arial" w:cs="Arial"/>
          <w:b/>
          <w:bCs/>
          <w:i/>
          <w:iCs/>
          <w:lang w:val="en-US"/>
        </w:rPr>
        <w:t>D</w:t>
      </w:r>
      <w:r w:rsidRPr="00CC2EC3">
        <w:rPr>
          <w:rFonts w:ascii="Arial" w:hAnsi="Arial" w:cs="Arial"/>
          <w:b/>
          <w:bCs/>
          <w:i/>
          <w:iCs/>
          <w:lang w:val="en-US"/>
        </w:rPr>
        <w:t>elivered;</w:t>
      </w:r>
    </w:p>
    <w:p w14:paraId="65A14EC9" w14:textId="4DCCBE90" w:rsidR="0063725F" w:rsidRDefault="00986C8D" w:rsidP="009B0A72">
      <w:pPr>
        <w:pStyle w:val="ListParagraph"/>
        <w:numPr>
          <w:ilvl w:val="0"/>
          <w:numId w:val="26"/>
        </w:numPr>
        <w:spacing w:after="0" w:line="240" w:lineRule="auto"/>
        <w:ind w:left="1440"/>
        <w:rPr>
          <w:rFonts w:ascii="Arial" w:hAnsi="Arial" w:cs="Arial"/>
          <w:lang w:val="en-US"/>
        </w:rPr>
      </w:pPr>
      <w:r w:rsidRPr="00CC2EC3">
        <w:rPr>
          <w:rFonts w:ascii="Arial" w:hAnsi="Arial" w:cs="Arial"/>
          <w:lang w:val="en-US"/>
        </w:rPr>
        <w:t>£</w:t>
      </w:r>
      <w:r w:rsidR="0063725F">
        <w:rPr>
          <w:rFonts w:ascii="Arial" w:hAnsi="Arial" w:cs="Arial"/>
          <w:lang w:val="en-US"/>
        </w:rPr>
        <w:t>2.9</w:t>
      </w:r>
      <w:r w:rsidRPr="00CC2EC3">
        <w:rPr>
          <w:rFonts w:ascii="Arial" w:hAnsi="Arial" w:cs="Arial"/>
          <w:lang w:val="en-US"/>
        </w:rPr>
        <w:t xml:space="preserve">m </w:t>
      </w:r>
      <w:r w:rsidR="0063725F">
        <w:rPr>
          <w:rFonts w:ascii="Arial" w:hAnsi="Arial" w:cs="Arial"/>
          <w:lang w:val="en-US"/>
        </w:rPr>
        <w:t>to continue to refurbish Worden Hall which will see the hall transformed into a flexible community space with provision for small events and weddings;</w:t>
      </w:r>
    </w:p>
    <w:p w14:paraId="3BF506EF" w14:textId="1A25A26A" w:rsidR="0063725F" w:rsidRPr="00CC2EC3" w:rsidRDefault="0063725F" w:rsidP="00797ABD">
      <w:pPr>
        <w:pStyle w:val="ListParagraph"/>
        <w:numPr>
          <w:ilvl w:val="0"/>
          <w:numId w:val="26"/>
        </w:numPr>
        <w:spacing w:after="200" w:line="240" w:lineRule="auto"/>
        <w:ind w:left="1440"/>
        <w:rPr>
          <w:rFonts w:ascii="Arial" w:hAnsi="Arial" w:cs="Arial"/>
        </w:rPr>
      </w:pPr>
      <w:r>
        <w:rPr>
          <w:rFonts w:ascii="Arial" w:hAnsi="Arial" w:cs="Arial"/>
          <w:lang w:val="en-US"/>
        </w:rPr>
        <w:t>£20k to improve digital access for less advantaged school children by providing 150 tablet devices to 10 schools across South Ribble.</w:t>
      </w:r>
    </w:p>
    <w:p w14:paraId="4217E148" w14:textId="16D25431" w:rsidR="00986C8D" w:rsidRPr="00CC2EC3" w:rsidRDefault="00986C8D" w:rsidP="0063725F">
      <w:pPr>
        <w:pStyle w:val="ListParagraph"/>
        <w:spacing w:after="200" w:line="276" w:lineRule="auto"/>
        <w:ind w:left="1440"/>
        <w:rPr>
          <w:rFonts w:ascii="Arial" w:hAnsi="Arial" w:cs="Arial"/>
        </w:rPr>
      </w:pPr>
    </w:p>
    <w:p w14:paraId="292A548F" w14:textId="77777777" w:rsidR="00986C8D" w:rsidRPr="00CC2EC3" w:rsidRDefault="00986C8D" w:rsidP="009B0A72">
      <w:pPr>
        <w:spacing w:after="0" w:line="240" w:lineRule="auto"/>
        <w:ind w:left="1080"/>
        <w:rPr>
          <w:rFonts w:ascii="Arial" w:hAnsi="Arial" w:cs="Arial"/>
          <w:b/>
          <w:bCs/>
          <w:i/>
          <w:iCs/>
        </w:rPr>
      </w:pPr>
      <w:r w:rsidRPr="00CC2EC3">
        <w:rPr>
          <w:rFonts w:ascii="Arial" w:hAnsi="Arial" w:cs="Arial"/>
          <w:b/>
          <w:bCs/>
          <w:i/>
          <w:iCs/>
        </w:rPr>
        <w:t>To be delivered</w:t>
      </w:r>
      <w:r>
        <w:rPr>
          <w:rFonts w:ascii="Arial" w:hAnsi="Arial" w:cs="Arial"/>
          <w:b/>
          <w:bCs/>
          <w:i/>
          <w:iCs/>
        </w:rPr>
        <w:t>;</w:t>
      </w:r>
    </w:p>
    <w:p w14:paraId="007E8C2B" w14:textId="77777777" w:rsidR="0028310B" w:rsidRPr="00BD3A7A" w:rsidRDefault="0028310B" w:rsidP="0028310B">
      <w:pPr>
        <w:pStyle w:val="ListParagraph"/>
        <w:numPr>
          <w:ilvl w:val="0"/>
          <w:numId w:val="29"/>
        </w:numPr>
        <w:spacing w:after="0" w:line="240" w:lineRule="auto"/>
        <w:ind w:left="1440"/>
        <w:jc w:val="both"/>
        <w:rPr>
          <w:rFonts w:ascii="Arial" w:hAnsi="Arial" w:cs="Arial"/>
        </w:rPr>
      </w:pPr>
      <w:r>
        <w:rPr>
          <w:rFonts w:ascii="Arial" w:hAnsi="Arial" w:cs="Arial"/>
        </w:rPr>
        <w:t>£200k</w:t>
      </w:r>
      <w:r w:rsidRPr="00BD3A7A">
        <w:t xml:space="preserve"> </w:t>
      </w:r>
      <w:r>
        <w:t xml:space="preserve">to target fly tipping and environmental improvements across the borough to enable clean and safe local areas for residents. </w:t>
      </w:r>
    </w:p>
    <w:p w14:paraId="11D40260" w14:textId="77777777" w:rsidR="0028310B" w:rsidRPr="00CC2EC3" w:rsidRDefault="0028310B" w:rsidP="0028310B">
      <w:pPr>
        <w:pStyle w:val="ListParagraph"/>
        <w:numPr>
          <w:ilvl w:val="0"/>
          <w:numId w:val="29"/>
        </w:numPr>
        <w:spacing w:after="0" w:line="240" w:lineRule="auto"/>
        <w:ind w:left="1440"/>
        <w:jc w:val="both"/>
        <w:rPr>
          <w:rFonts w:ascii="Arial" w:hAnsi="Arial" w:cs="Arial"/>
        </w:rPr>
      </w:pPr>
      <w:r>
        <w:t>£30k to support communities and residents to organise events to celebrate the Queen’s Jubilee</w:t>
      </w:r>
    </w:p>
    <w:p w14:paraId="027956ED" w14:textId="77777777" w:rsidR="00986C8D" w:rsidRDefault="00986C8D" w:rsidP="00986C8D">
      <w:pPr>
        <w:ind w:left="720" w:firstLine="360"/>
        <w:rPr>
          <w:rFonts w:ascii="Arial" w:hAnsi="Arial" w:cs="Arial"/>
          <w:b/>
          <w:bCs/>
          <w:lang w:val="en-US"/>
        </w:rPr>
      </w:pPr>
    </w:p>
    <w:p w14:paraId="040870A2" w14:textId="371CC939" w:rsidR="00986C8D" w:rsidRPr="00101CA8" w:rsidRDefault="0063725F" w:rsidP="00986C8D">
      <w:pPr>
        <w:ind w:left="720" w:firstLine="360"/>
        <w:rPr>
          <w:rFonts w:ascii="Arial" w:hAnsi="Arial" w:cs="Arial"/>
          <w:b/>
          <w:bCs/>
          <w:color w:val="548DD4" w:themeColor="text2" w:themeTint="99"/>
          <w:lang w:val="en-US"/>
        </w:rPr>
      </w:pPr>
      <w:r w:rsidRPr="00101CA8">
        <w:rPr>
          <w:rFonts w:ascii="Arial" w:hAnsi="Arial" w:cs="Arial"/>
          <w:b/>
          <w:bCs/>
          <w:color w:val="548DD4" w:themeColor="text2" w:themeTint="99"/>
          <w:lang w:val="en-US"/>
        </w:rPr>
        <w:t>Thriving communities</w:t>
      </w:r>
    </w:p>
    <w:p w14:paraId="52D5A29C" w14:textId="77777777" w:rsidR="00986C8D" w:rsidRPr="00CC2EC3" w:rsidRDefault="00986C8D" w:rsidP="009B0A72">
      <w:pPr>
        <w:spacing w:after="0"/>
        <w:ind w:left="720" w:firstLine="360"/>
        <w:rPr>
          <w:rFonts w:ascii="Arial" w:hAnsi="Arial" w:cs="Arial"/>
          <w:b/>
          <w:bCs/>
          <w:i/>
          <w:iCs/>
          <w:lang w:val="en-US"/>
        </w:rPr>
      </w:pPr>
      <w:r w:rsidRPr="00CC2EC3">
        <w:rPr>
          <w:rFonts w:ascii="Arial" w:hAnsi="Arial" w:cs="Arial"/>
          <w:b/>
          <w:bCs/>
          <w:i/>
          <w:iCs/>
          <w:lang w:val="en-US"/>
        </w:rPr>
        <w:t>Delivered;</w:t>
      </w:r>
    </w:p>
    <w:p w14:paraId="68CC2E80" w14:textId="40DC6614" w:rsidR="00986C8D" w:rsidRPr="00BD3A7A" w:rsidRDefault="00986C8D" w:rsidP="009B0A72">
      <w:pPr>
        <w:pStyle w:val="ListParagraph"/>
        <w:numPr>
          <w:ilvl w:val="0"/>
          <w:numId w:val="28"/>
        </w:numPr>
        <w:spacing w:after="0" w:line="240" w:lineRule="auto"/>
        <w:ind w:left="1440"/>
        <w:jc w:val="both"/>
        <w:rPr>
          <w:rFonts w:ascii="Arial" w:hAnsi="Arial" w:cs="Arial"/>
          <w:color w:val="FF0000"/>
          <w:lang w:val="en-US"/>
        </w:rPr>
      </w:pPr>
      <w:r w:rsidRPr="00BD3A7A">
        <w:rPr>
          <w:rFonts w:ascii="Arial" w:hAnsi="Arial" w:cs="Arial"/>
        </w:rPr>
        <w:t>£</w:t>
      </w:r>
      <w:r w:rsidR="0063725F" w:rsidRPr="00BD3A7A">
        <w:rPr>
          <w:rFonts w:ascii="Arial" w:hAnsi="Arial" w:cs="Arial"/>
        </w:rPr>
        <w:t>50k</w:t>
      </w:r>
      <w:r w:rsidRPr="00BD3A7A">
        <w:rPr>
          <w:rFonts w:ascii="Arial" w:hAnsi="Arial" w:cs="Arial"/>
        </w:rPr>
        <w:t xml:space="preserve"> which has </w:t>
      </w:r>
      <w:r w:rsidR="0063725F" w:rsidRPr="00BD3A7A">
        <w:rPr>
          <w:rFonts w:ascii="Arial" w:hAnsi="Arial" w:cs="Arial"/>
        </w:rPr>
        <w:t>been provided to support positive mental health for you</w:t>
      </w:r>
      <w:r w:rsidR="00A8011B" w:rsidRPr="00BD3A7A">
        <w:rPr>
          <w:rFonts w:ascii="Arial" w:hAnsi="Arial" w:cs="Arial"/>
        </w:rPr>
        <w:t>n</w:t>
      </w:r>
      <w:r w:rsidR="0063725F" w:rsidRPr="00BD3A7A">
        <w:rPr>
          <w:rFonts w:ascii="Arial" w:hAnsi="Arial" w:cs="Arial"/>
        </w:rPr>
        <w:t>g people</w:t>
      </w:r>
      <w:r w:rsidR="00797ABD" w:rsidRPr="00BD3A7A">
        <w:rPr>
          <w:rFonts w:ascii="Arial" w:hAnsi="Arial" w:cs="Arial"/>
        </w:rPr>
        <w:t>.</w:t>
      </w:r>
      <w:r w:rsidR="0063725F" w:rsidRPr="00BD3A7A">
        <w:rPr>
          <w:rFonts w:ascii="Arial" w:hAnsi="Arial" w:cs="Arial"/>
        </w:rPr>
        <w:t xml:space="preserve"> </w:t>
      </w:r>
      <w:r w:rsidR="00797ABD" w:rsidRPr="00BD3A7A">
        <w:rPr>
          <w:rFonts w:ascii="Arial" w:hAnsi="Arial" w:cs="Arial"/>
        </w:rPr>
        <w:t>Mental Health First Aid training has been provided</w:t>
      </w:r>
      <w:r w:rsidR="00BD3A7A" w:rsidRPr="00BD3A7A">
        <w:rPr>
          <w:rFonts w:ascii="Arial" w:hAnsi="Arial" w:cs="Arial"/>
        </w:rPr>
        <w:t xml:space="preserve">, </w:t>
      </w:r>
      <w:r w:rsidR="00797ABD" w:rsidRPr="00BD3A7A">
        <w:rPr>
          <w:rFonts w:ascii="Arial" w:hAnsi="Arial" w:cs="Arial"/>
        </w:rPr>
        <w:t>Community Mental Health Awareness sessions have been delivered in Penwortham, Leyland and Bamber Bridge</w:t>
      </w:r>
      <w:r w:rsidR="00BD3A7A" w:rsidRPr="00BD3A7A">
        <w:rPr>
          <w:rFonts w:ascii="Arial" w:hAnsi="Arial" w:cs="Arial"/>
        </w:rPr>
        <w:t xml:space="preserve"> and w</w:t>
      </w:r>
      <w:r w:rsidR="00797ABD" w:rsidRPr="00BD3A7A">
        <w:rPr>
          <w:rFonts w:ascii="Arial" w:hAnsi="Arial" w:cs="Arial"/>
        </w:rPr>
        <w:t xml:space="preserve">ork continues in the evolution of the South Ribble Together Network, made up of agencies who support the work of the South Ribble Together Hub.  </w:t>
      </w:r>
    </w:p>
    <w:p w14:paraId="7C20CE5F" w14:textId="444B47E0" w:rsidR="00986C8D" w:rsidRPr="00797ABD" w:rsidRDefault="00986C8D" w:rsidP="00797ABD">
      <w:pPr>
        <w:pStyle w:val="ListParagraph"/>
        <w:numPr>
          <w:ilvl w:val="0"/>
          <w:numId w:val="28"/>
        </w:numPr>
        <w:spacing w:after="200" w:line="240" w:lineRule="auto"/>
        <w:ind w:left="1440"/>
        <w:jc w:val="both"/>
        <w:rPr>
          <w:rFonts w:ascii="Arial" w:hAnsi="Arial" w:cs="Arial"/>
          <w:lang w:val="en-US"/>
        </w:rPr>
      </w:pPr>
      <w:r w:rsidRPr="00BD3A7A">
        <w:rPr>
          <w:rFonts w:ascii="Arial" w:hAnsi="Arial" w:cs="Arial"/>
          <w:lang w:val="en-US"/>
        </w:rPr>
        <w:lastRenderedPageBreak/>
        <w:t>£</w:t>
      </w:r>
      <w:r w:rsidR="0063725F" w:rsidRPr="00BD3A7A">
        <w:rPr>
          <w:rFonts w:ascii="Arial" w:hAnsi="Arial" w:cs="Arial"/>
          <w:lang w:val="en-US"/>
        </w:rPr>
        <w:t xml:space="preserve">265k to refurbish </w:t>
      </w:r>
      <w:r w:rsidR="00A8011B" w:rsidRPr="00BD3A7A">
        <w:rPr>
          <w:rFonts w:ascii="Arial" w:hAnsi="Arial" w:cs="Arial"/>
          <w:lang w:val="en-US"/>
        </w:rPr>
        <w:t xml:space="preserve">the </w:t>
      </w:r>
      <w:r w:rsidR="0063725F" w:rsidRPr="00BD3A7A">
        <w:rPr>
          <w:rFonts w:ascii="Arial" w:hAnsi="Arial" w:cs="Arial"/>
          <w:lang w:val="en-US"/>
        </w:rPr>
        <w:t xml:space="preserve">Vernon </w:t>
      </w:r>
      <w:proofErr w:type="spellStart"/>
      <w:r w:rsidR="0063725F" w:rsidRPr="00BD3A7A">
        <w:rPr>
          <w:rFonts w:ascii="Arial" w:hAnsi="Arial" w:cs="Arial"/>
          <w:lang w:val="en-US"/>
        </w:rPr>
        <w:t>Carus</w:t>
      </w:r>
      <w:proofErr w:type="spellEnd"/>
      <w:r w:rsidR="0063725F" w:rsidRPr="00BD3A7A">
        <w:rPr>
          <w:rFonts w:ascii="Arial" w:hAnsi="Arial" w:cs="Arial"/>
          <w:lang w:val="en-US"/>
        </w:rPr>
        <w:t xml:space="preserve"> Sports Club</w:t>
      </w:r>
      <w:r w:rsidR="00A8011B" w:rsidRPr="00BD3A7A">
        <w:rPr>
          <w:rFonts w:ascii="Arial" w:hAnsi="Arial" w:cs="Arial"/>
          <w:lang w:val="en-US"/>
        </w:rPr>
        <w:t>;</w:t>
      </w:r>
      <w:r w:rsidR="0063725F" w:rsidRPr="00BD3A7A">
        <w:rPr>
          <w:rFonts w:ascii="Arial" w:hAnsi="Arial" w:cs="Arial"/>
          <w:lang w:val="en-US"/>
        </w:rPr>
        <w:t xml:space="preserve"> work started on site in January to refurbish</w:t>
      </w:r>
      <w:r w:rsidR="0063725F" w:rsidRPr="00797ABD">
        <w:rPr>
          <w:rFonts w:ascii="Arial" w:hAnsi="Arial" w:cs="Arial"/>
          <w:lang w:val="en-US"/>
        </w:rPr>
        <w:t xml:space="preserve"> the existing club house and changing rooms</w:t>
      </w:r>
      <w:r w:rsidR="00A8011B" w:rsidRPr="00797ABD">
        <w:rPr>
          <w:rFonts w:ascii="Arial" w:hAnsi="Arial" w:cs="Arial"/>
          <w:lang w:val="en-US"/>
        </w:rPr>
        <w:t>,</w:t>
      </w:r>
      <w:r w:rsidR="0063725F" w:rsidRPr="00797ABD">
        <w:rPr>
          <w:rFonts w:ascii="Arial" w:hAnsi="Arial" w:cs="Arial"/>
          <w:lang w:val="en-US"/>
        </w:rPr>
        <w:t xml:space="preserve"> with co</w:t>
      </w:r>
      <w:r w:rsidR="00A8011B" w:rsidRPr="00797ABD">
        <w:rPr>
          <w:rFonts w:ascii="Arial" w:hAnsi="Arial" w:cs="Arial"/>
          <w:lang w:val="en-US"/>
        </w:rPr>
        <w:t>mpletion</w:t>
      </w:r>
      <w:r w:rsidR="0063725F" w:rsidRPr="00797ABD">
        <w:rPr>
          <w:rFonts w:ascii="Arial" w:hAnsi="Arial" w:cs="Arial"/>
          <w:lang w:val="en-US"/>
        </w:rPr>
        <w:t xml:space="preserve"> planned for April ahead of the new cricket season. This will provide some of the best sporting facilities for our residents to encou</w:t>
      </w:r>
      <w:r w:rsidR="00A8011B" w:rsidRPr="00797ABD">
        <w:rPr>
          <w:rFonts w:ascii="Arial" w:hAnsi="Arial" w:cs="Arial"/>
          <w:lang w:val="en-US"/>
        </w:rPr>
        <w:t>r</w:t>
      </w:r>
      <w:r w:rsidR="0063725F" w:rsidRPr="00797ABD">
        <w:rPr>
          <w:rFonts w:ascii="Arial" w:hAnsi="Arial" w:cs="Arial"/>
          <w:lang w:val="en-US"/>
        </w:rPr>
        <w:t>age more and more people to access ‘</w:t>
      </w:r>
      <w:r w:rsidR="00A8011B" w:rsidRPr="00797ABD">
        <w:rPr>
          <w:rFonts w:ascii="Arial" w:hAnsi="Arial" w:cs="Arial"/>
          <w:lang w:val="en-US"/>
        </w:rPr>
        <w:t>Lei</w:t>
      </w:r>
      <w:r w:rsidR="0063725F" w:rsidRPr="00797ABD">
        <w:rPr>
          <w:rFonts w:ascii="Arial" w:hAnsi="Arial" w:cs="Arial"/>
          <w:lang w:val="en-US"/>
        </w:rPr>
        <w:t>sure Local’.</w:t>
      </w:r>
    </w:p>
    <w:p w14:paraId="119A059B" w14:textId="77777777" w:rsidR="00986C8D" w:rsidRPr="00797ABD" w:rsidRDefault="00986C8D" w:rsidP="009B0A72">
      <w:pPr>
        <w:spacing w:after="0" w:line="240" w:lineRule="auto"/>
        <w:ind w:left="1080"/>
        <w:rPr>
          <w:rFonts w:ascii="Arial" w:hAnsi="Arial" w:cs="Arial"/>
          <w:b/>
          <w:bCs/>
          <w:i/>
          <w:iCs/>
        </w:rPr>
      </w:pPr>
      <w:r w:rsidRPr="00797ABD">
        <w:rPr>
          <w:rFonts w:ascii="Arial" w:hAnsi="Arial" w:cs="Arial"/>
          <w:b/>
          <w:bCs/>
          <w:i/>
          <w:iCs/>
        </w:rPr>
        <w:t>To be delivered</w:t>
      </w:r>
    </w:p>
    <w:p w14:paraId="1D9258B0" w14:textId="05578AB4" w:rsidR="0028310B" w:rsidRDefault="0028310B" w:rsidP="0028310B">
      <w:pPr>
        <w:pStyle w:val="ListParagraph"/>
        <w:numPr>
          <w:ilvl w:val="0"/>
          <w:numId w:val="29"/>
        </w:numPr>
        <w:spacing w:after="0" w:line="240" w:lineRule="auto"/>
        <w:ind w:left="1440"/>
        <w:jc w:val="both"/>
        <w:rPr>
          <w:rFonts w:ascii="Arial" w:hAnsi="Arial" w:cs="Arial"/>
        </w:rPr>
      </w:pPr>
      <w:r>
        <w:t xml:space="preserve">Our sports clubs and community organisations have been badly hit through loss of income and membership during pandemic. They provide the </w:t>
      </w:r>
      <w:proofErr w:type="gramStart"/>
      <w:r>
        <w:t>life-blood</w:t>
      </w:r>
      <w:proofErr w:type="gramEnd"/>
      <w:r>
        <w:t xml:space="preserve"> of the borough and so we will create a £2</w:t>
      </w:r>
      <w:r>
        <w:t>5</w:t>
      </w:r>
      <w:r>
        <w:t xml:space="preserve">0k fund for groups to continue and grow. </w:t>
      </w:r>
    </w:p>
    <w:p w14:paraId="12610EB7" w14:textId="22220A53" w:rsidR="0028310B" w:rsidRPr="00BD3A7A" w:rsidRDefault="0028310B" w:rsidP="0028310B">
      <w:pPr>
        <w:pStyle w:val="ListParagraph"/>
        <w:numPr>
          <w:ilvl w:val="0"/>
          <w:numId w:val="29"/>
        </w:numPr>
        <w:spacing w:after="0" w:line="240" w:lineRule="auto"/>
        <w:ind w:left="1440"/>
        <w:jc w:val="both"/>
        <w:rPr>
          <w:rFonts w:ascii="Arial" w:hAnsi="Arial" w:cs="Arial"/>
          <w:b/>
        </w:rPr>
      </w:pPr>
      <w:r>
        <w:t>£2</w:t>
      </w:r>
      <w:r>
        <w:t>5</w:t>
      </w:r>
      <w:r>
        <w:t xml:space="preserve">0k to create a community support fund, working alongside our existing the Boost Fund and the community hubs to improve the lives of our residents and provide support for individuals, </w:t>
      </w:r>
      <w:proofErr w:type="gramStart"/>
      <w:r>
        <w:t>groups</w:t>
      </w:r>
      <w:proofErr w:type="gramEnd"/>
      <w:r>
        <w:t xml:space="preserve"> and organisations</w:t>
      </w:r>
    </w:p>
    <w:p w14:paraId="4C78BDB1" w14:textId="77777777" w:rsidR="00986C8D" w:rsidRPr="00CC2EC3" w:rsidRDefault="00986C8D" w:rsidP="00986C8D">
      <w:pPr>
        <w:ind w:left="720"/>
        <w:rPr>
          <w:rFonts w:ascii="Arial" w:hAnsi="Arial" w:cs="Arial"/>
          <w:lang w:val="en-US"/>
        </w:rPr>
      </w:pPr>
    </w:p>
    <w:p w14:paraId="4F11FD86" w14:textId="1F5AF535" w:rsidR="00986C8D" w:rsidRPr="00101CA8" w:rsidRDefault="00986C8D" w:rsidP="00986C8D">
      <w:pPr>
        <w:pBdr>
          <w:top w:val="single" w:sz="2" w:space="1" w:color="FFFFFF"/>
          <w:left w:val="single" w:sz="2" w:space="0" w:color="FFFFFF"/>
          <w:bottom w:val="single" w:sz="2" w:space="2" w:color="FFFFFF"/>
          <w:right w:val="single" w:sz="2" w:space="4" w:color="FFFFFF"/>
        </w:pBdr>
        <w:tabs>
          <w:tab w:val="left" w:pos="567"/>
        </w:tabs>
        <w:spacing w:after="0" w:line="240" w:lineRule="auto"/>
        <w:ind w:left="1080"/>
        <w:jc w:val="both"/>
        <w:rPr>
          <w:rFonts w:ascii="Arial" w:hAnsi="Arial" w:cs="Arial"/>
          <w:b/>
          <w:bCs/>
          <w:color w:val="548DD4" w:themeColor="text2" w:themeTint="99"/>
          <w:lang w:val="en-US"/>
        </w:rPr>
      </w:pPr>
      <w:r w:rsidRPr="00101CA8">
        <w:rPr>
          <w:rFonts w:ascii="Arial" w:hAnsi="Arial" w:cs="Arial"/>
          <w:b/>
          <w:bCs/>
          <w:color w:val="548DD4" w:themeColor="text2" w:themeTint="99"/>
          <w:lang w:val="en-US"/>
        </w:rPr>
        <w:t xml:space="preserve">A </w:t>
      </w:r>
      <w:r w:rsidR="0063725F" w:rsidRPr="00101CA8">
        <w:rPr>
          <w:rFonts w:asciiTheme="majorHAnsi" w:hAnsiTheme="majorHAnsi" w:cstheme="majorHAnsi"/>
          <w:b/>
          <w:bCs/>
          <w:color w:val="548DD4" w:themeColor="text2" w:themeTint="99"/>
        </w:rPr>
        <w:t>fair local economy that works for everyone</w:t>
      </w:r>
      <w:r w:rsidR="0063725F" w:rsidRPr="00101CA8">
        <w:rPr>
          <w:rFonts w:ascii="Arial" w:hAnsi="Arial" w:cs="Arial"/>
          <w:b/>
          <w:bCs/>
          <w:color w:val="548DD4" w:themeColor="text2" w:themeTint="99"/>
          <w:lang w:val="en-US"/>
        </w:rPr>
        <w:t xml:space="preserve"> </w:t>
      </w:r>
    </w:p>
    <w:p w14:paraId="0037EFCD" w14:textId="77777777" w:rsidR="00986C8D" w:rsidRDefault="00986C8D" w:rsidP="00986C8D">
      <w:pPr>
        <w:pStyle w:val="ListParagraph"/>
        <w:ind w:left="1080"/>
        <w:rPr>
          <w:rFonts w:ascii="Arial" w:hAnsi="Arial" w:cs="Arial"/>
          <w:b/>
          <w:bCs/>
          <w:i/>
          <w:iCs/>
          <w:lang w:val="en-US"/>
        </w:rPr>
      </w:pPr>
    </w:p>
    <w:p w14:paraId="7CF73115" w14:textId="77777777" w:rsidR="00986C8D" w:rsidRPr="00CC2EC3" w:rsidRDefault="00986C8D" w:rsidP="009B0A72">
      <w:pPr>
        <w:pStyle w:val="ListParagraph"/>
        <w:spacing w:line="240" w:lineRule="auto"/>
        <w:ind w:left="1080"/>
        <w:rPr>
          <w:rFonts w:ascii="Arial" w:hAnsi="Arial" w:cs="Arial"/>
          <w:b/>
          <w:bCs/>
          <w:i/>
          <w:iCs/>
          <w:lang w:val="en-US"/>
        </w:rPr>
      </w:pPr>
      <w:r w:rsidRPr="00CC2EC3">
        <w:rPr>
          <w:rFonts w:ascii="Arial" w:hAnsi="Arial" w:cs="Arial"/>
          <w:b/>
          <w:bCs/>
          <w:i/>
          <w:iCs/>
          <w:lang w:val="en-US"/>
        </w:rPr>
        <w:t>Delivered;</w:t>
      </w:r>
    </w:p>
    <w:p w14:paraId="38173DFF" w14:textId="41A2F2FA" w:rsidR="00A8011B" w:rsidRDefault="00986C8D" w:rsidP="009B0A72">
      <w:pPr>
        <w:pStyle w:val="ListParagraph"/>
        <w:numPr>
          <w:ilvl w:val="0"/>
          <w:numId w:val="30"/>
        </w:numPr>
        <w:spacing w:after="200" w:line="240" w:lineRule="auto"/>
        <w:ind w:left="1440"/>
        <w:jc w:val="both"/>
        <w:rPr>
          <w:rFonts w:ascii="Arial" w:hAnsi="Arial" w:cs="Arial"/>
          <w:lang w:val="en-US"/>
        </w:rPr>
      </w:pPr>
      <w:r w:rsidRPr="00CC2EC3">
        <w:rPr>
          <w:rFonts w:ascii="Arial" w:hAnsi="Arial" w:cs="Arial"/>
          <w:lang w:val="en-US"/>
        </w:rPr>
        <w:t>£</w:t>
      </w:r>
      <w:r w:rsidR="00A8011B">
        <w:rPr>
          <w:rFonts w:ascii="Arial" w:hAnsi="Arial" w:cs="Arial"/>
          <w:lang w:val="en-US"/>
        </w:rPr>
        <w:t>150k which has created a Credit Union that will enable access to safe and ethical banking options for all residents, with nearly 100 new savers during the first two quarters of opening;</w:t>
      </w:r>
    </w:p>
    <w:p w14:paraId="193CA9B9" w14:textId="77777777" w:rsidR="00986C8D" w:rsidRDefault="00986C8D" w:rsidP="009B0A72">
      <w:pPr>
        <w:pStyle w:val="ListParagraph"/>
        <w:spacing w:line="240" w:lineRule="auto"/>
        <w:ind w:left="1080"/>
        <w:rPr>
          <w:rFonts w:ascii="Arial" w:hAnsi="Arial" w:cs="Arial"/>
          <w:i/>
          <w:iCs/>
        </w:rPr>
      </w:pPr>
    </w:p>
    <w:p w14:paraId="4747E46A" w14:textId="77777777" w:rsidR="00986C8D" w:rsidRPr="00CC2EC3" w:rsidRDefault="00986C8D" w:rsidP="009B0A72">
      <w:pPr>
        <w:pStyle w:val="ListParagraph"/>
        <w:spacing w:line="240" w:lineRule="auto"/>
        <w:ind w:left="1080"/>
        <w:rPr>
          <w:rFonts w:ascii="Arial" w:hAnsi="Arial" w:cs="Arial"/>
          <w:b/>
          <w:bCs/>
          <w:i/>
          <w:iCs/>
        </w:rPr>
      </w:pPr>
      <w:r w:rsidRPr="00CC2EC3">
        <w:rPr>
          <w:rFonts w:ascii="Arial" w:hAnsi="Arial" w:cs="Arial"/>
          <w:b/>
          <w:bCs/>
          <w:i/>
          <w:iCs/>
        </w:rPr>
        <w:t>To be delivered</w:t>
      </w:r>
      <w:r>
        <w:rPr>
          <w:rFonts w:ascii="Arial" w:hAnsi="Arial" w:cs="Arial"/>
          <w:b/>
          <w:bCs/>
          <w:i/>
          <w:iCs/>
        </w:rPr>
        <w:t>;</w:t>
      </w:r>
    </w:p>
    <w:p w14:paraId="74790D97" w14:textId="77777777" w:rsidR="0028310B" w:rsidRPr="00CC2EC3" w:rsidRDefault="0028310B" w:rsidP="0028310B">
      <w:pPr>
        <w:pStyle w:val="ListParagraph"/>
        <w:numPr>
          <w:ilvl w:val="0"/>
          <w:numId w:val="31"/>
        </w:numPr>
        <w:spacing w:after="200" w:line="240" w:lineRule="auto"/>
        <w:ind w:left="1440"/>
        <w:jc w:val="both"/>
        <w:rPr>
          <w:rFonts w:ascii="Arial" w:hAnsi="Arial" w:cs="Arial"/>
        </w:rPr>
      </w:pPr>
      <w:r>
        <w:rPr>
          <w:rFonts w:ascii="Arial" w:hAnsi="Arial" w:cs="Arial"/>
        </w:rPr>
        <w:t xml:space="preserve">To </w:t>
      </w:r>
      <w:r>
        <w:t xml:space="preserve">support the recovery of the local economy following the pandemic, we will invest £200k on business support, </w:t>
      </w:r>
      <w:proofErr w:type="gramStart"/>
      <w:r>
        <w:t>advice</w:t>
      </w:r>
      <w:proofErr w:type="gramEnd"/>
      <w:r>
        <w:t xml:space="preserve"> and grants for local businesses to get back on their feet. </w:t>
      </w:r>
    </w:p>
    <w:p w14:paraId="630B4A79" w14:textId="77777777" w:rsidR="0028310B" w:rsidRPr="00A81B1D" w:rsidRDefault="0028310B" w:rsidP="0028310B">
      <w:pPr>
        <w:pStyle w:val="ListParagraph"/>
        <w:numPr>
          <w:ilvl w:val="0"/>
          <w:numId w:val="27"/>
        </w:numPr>
        <w:spacing w:after="0" w:line="240" w:lineRule="auto"/>
        <w:ind w:left="1440"/>
        <w:jc w:val="both"/>
        <w:rPr>
          <w:rFonts w:ascii="Arial" w:hAnsi="Arial" w:cs="Arial"/>
        </w:rPr>
      </w:pPr>
      <w:r>
        <w:t>To support people into high quality employment, build resilience and improve quality in our service provision as we recover from the pandemic we will invest £200k in creating more apprenticeships, graduates and training posts across the council in areas of high demand.</w:t>
      </w:r>
    </w:p>
    <w:p w14:paraId="310E8034" w14:textId="145918E5" w:rsidR="00BD3A7A" w:rsidRDefault="00BD3A7A" w:rsidP="00BD3A7A">
      <w:pPr>
        <w:pStyle w:val="ListParagraph"/>
        <w:spacing w:after="0" w:line="240" w:lineRule="auto"/>
        <w:ind w:left="1440"/>
        <w:jc w:val="both"/>
      </w:pPr>
    </w:p>
    <w:p w14:paraId="391CC00A" w14:textId="77777777" w:rsidR="00BD3A7A" w:rsidRDefault="00BD3A7A" w:rsidP="00BD3A7A">
      <w:pPr>
        <w:pStyle w:val="ListParagraph"/>
        <w:spacing w:after="0" w:line="240" w:lineRule="auto"/>
        <w:ind w:left="1440"/>
        <w:jc w:val="both"/>
        <w:rPr>
          <w:rFonts w:ascii="Arial" w:hAnsi="Arial" w:cs="Arial"/>
          <w:b/>
        </w:rPr>
      </w:pPr>
    </w:p>
    <w:p w14:paraId="25C639D2" w14:textId="47A9E8E9" w:rsidR="00986C8D" w:rsidRPr="00101CA8" w:rsidRDefault="0063725F" w:rsidP="009B0A72">
      <w:pPr>
        <w:spacing w:line="240" w:lineRule="auto"/>
        <w:ind w:left="720" w:firstLine="360"/>
        <w:rPr>
          <w:rFonts w:ascii="Arial" w:hAnsi="Arial" w:cs="Arial"/>
          <w:b/>
          <w:color w:val="548DD4" w:themeColor="text2" w:themeTint="99"/>
        </w:rPr>
      </w:pPr>
      <w:r w:rsidRPr="00101CA8">
        <w:rPr>
          <w:rFonts w:ascii="Arial" w:hAnsi="Arial" w:cs="Arial"/>
          <w:b/>
          <w:color w:val="548DD4" w:themeColor="text2" w:themeTint="99"/>
        </w:rPr>
        <w:t>Good</w:t>
      </w:r>
      <w:r w:rsidR="00986C8D" w:rsidRPr="00101CA8">
        <w:rPr>
          <w:rFonts w:ascii="Arial" w:hAnsi="Arial" w:cs="Arial"/>
          <w:b/>
          <w:color w:val="548DD4" w:themeColor="text2" w:themeTint="99"/>
        </w:rPr>
        <w:t xml:space="preserve"> </w:t>
      </w:r>
      <w:r w:rsidRPr="00101CA8">
        <w:rPr>
          <w:rFonts w:asciiTheme="majorHAnsi" w:hAnsiTheme="majorHAnsi" w:cstheme="majorHAnsi"/>
          <w:b/>
          <w:color w:val="548DD4" w:themeColor="text2" w:themeTint="99"/>
        </w:rPr>
        <w:t>homes, green spaces, healthy places</w:t>
      </w:r>
      <w:r w:rsidRPr="00101CA8">
        <w:rPr>
          <w:rFonts w:ascii="Arial" w:hAnsi="Arial" w:cs="Arial"/>
          <w:b/>
          <w:color w:val="548DD4" w:themeColor="text2" w:themeTint="99"/>
        </w:rPr>
        <w:t xml:space="preserve"> </w:t>
      </w:r>
    </w:p>
    <w:p w14:paraId="40A4EEA0" w14:textId="77777777" w:rsidR="00986C8D" w:rsidRPr="00CC2EC3" w:rsidRDefault="00986C8D" w:rsidP="009B0A72">
      <w:pPr>
        <w:pStyle w:val="ListParagraph"/>
        <w:spacing w:line="240" w:lineRule="auto"/>
        <w:ind w:left="1080"/>
        <w:rPr>
          <w:rFonts w:ascii="Arial" w:hAnsi="Arial" w:cs="Arial"/>
          <w:b/>
          <w:bCs/>
          <w:i/>
          <w:iCs/>
          <w:lang w:val="en-US"/>
        </w:rPr>
      </w:pPr>
      <w:r w:rsidRPr="00CC2EC3">
        <w:rPr>
          <w:rFonts w:ascii="Arial" w:hAnsi="Arial" w:cs="Arial"/>
          <w:b/>
          <w:bCs/>
          <w:i/>
          <w:iCs/>
          <w:lang w:val="en-US"/>
        </w:rPr>
        <w:t>Delivered;</w:t>
      </w:r>
    </w:p>
    <w:p w14:paraId="6DBB1D76" w14:textId="57331BE9" w:rsidR="00A8011B" w:rsidRPr="00A8011B" w:rsidRDefault="00A8011B" w:rsidP="009B0A72">
      <w:pPr>
        <w:pStyle w:val="ListParagraph"/>
        <w:numPr>
          <w:ilvl w:val="0"/>
          <w:numId w:val="32"/>
        </w:numPr>
        <w:spacing w:after="200" w:line="240" w:lineRule="auto"/>
        <w:ind w:left="1440"/>
        <w:jc w:val="both"/>
        <w:rPr>
          <w:rFonts w:ascii="Arial" w:hAnsi="Arial" w:cs="Arial"/>
          <w:bCs/>
        </w:rPr>
      </w:pPr>
      <w:r>
        <w:rPr>
          <w:rFonts w:ascii="Arial" w:hAnsi="Arial" w:cs="Arial"/>
        </w:rPr>
        <w:t>£2m to continue to deliver affordable housing units. The completion of Tom Hanson House has provided nine new affordable flats which enables residents from across the borough to have access to affordable, safe and environmentally friendly housing, and will meet the demand of stock which is vitally needed;</w:t>
      </w:r>
    </w:p>
    <w:p w14:paraId="126358F4" w14:textId="3EC495FA" w:rsidR="00A8011B" w:rsidRPr="00CC2EC3" w:rsidRDefault="00A8011B" w:rsidP="009B0A72">
      <w:pPr>
        <w:pStyle w:val="ListParagraph"/>
        <w:numPr>
          <w:ilvl w:val="0"/>
          <w:numId w:val="32"/>
        </w:numPr>
        <w:spacing w:after="200" w:line="240" w:lineRule="auto"/>
        <w:ind w:left="1440"/>
        <w:jc w:val="both"/>
        <w:rPr>
          <w:rFonts w:ascii="Arial" w:hAnsi="Arial" w:cs="Arial"/>
          <w:bCs/>
        </w:rPr>
      </w:pPr>
      <w:r>
        <w:rPr>
          <w:rFonts w:ascii="Arial" w:hAnsi="Arial" w:cs="Arial"/>
        </w:rPr>
        <w:t xml:space="preserve">£625k was allocated to fund improvements to play areas and open spaces. In </w:t>
      </w:r>
      <w:proofErr w:type="gramStart"/>
      <w:r>
        <w:rPr>
          <w:rFonts w:ascii="Arial" w:hAnsi="Arial" w:cs="Arial"/>
        </w:rPr>
        <w:t>addition</w:t>
      </w:r>
      <w:proofErr w:type="gramEnd"/>
      <w:r>
        <w:rPr>
          <w:rFonts w:ascii="Arial" w:hAnsi="Arial" w:cs="Arial"/>
        </w:rPr>
        <w:t xml:space="preserve"> a budget of £2.8m has been provided to construct new ‘state of the art’ football pitches that are already under construction and due to be finished in early 2022/23.</w:t>
      </w:r>
    </w:p>
    <w:p w14:paraId="3CB0B4F1" w14:textId="77777777" w:rsidR="00986C8D" w:rsidRDefault="00986C8D" w:rsidP="009B0A72">
      <w:pPr>
        <w:pStyle w:val="ListParagraph"/>
        <w:spacing w:line="240" w:lineRule="auto"/>
        <w:ind w:left="1080"/>
        <w:rPr>
          <w:rFonts w:ascii="Arial" w:hAnsi="Arial" w:cs="Arial"/>
          <w:i/>
          <w:iCs/>
        </w:rPr>
      </w:pPr>
    </w:p>
    <w:p w14:paraId="621A4DFA" w14:textId="77777777" w:rsidR="00986C8D" w:rsidRPr="00440E06" w:rsidRDefault="00986C8D" w:rsidP="009B0A72">
      <w:pPr>
        <w:pStyle w:val="ListParagraph"/>
        <w:spacing w:line="240" w:lineRule="auto"/>
        <w:ind w:left="1080"/>
        <w:rPr>
          <w:rFonts w:ascii="Arial" w:hAnsi="Arial" w:cs="Arial"/>
          <w:b/>
          <w:bCs/>
          <w:i/>
          <w:iCs/>
        </w:rPr>
      </w:pPr>
      <w:r w:rsidRPr="00440E06">
        <w:rPr>
          <w:rFonts w:ascii="Arial" w:hAnsi="Arial" w:cs="Arial"/>
          <w:b/>
          <w:bCs/>
          <w:i/>
          <w:iCs/>
        </w:rPr>
        <w:t>To be delivered</w:t>
      </w:r>
    </w:p>
    <w:p w14:paraId="678171C8" w14:textId="473AF514" w:rsidR="0028310B" w:rsidRPr="00440E06" w:rsidRDefault="0028310B" w:rsidP="0028310B">
      <w:pPr>
        <w:pStyle w:val="ListParagraph"/>
        <w:numPr>
          <w:ilvl w:val="0"/>
          <w:numId w:val="33"/>
        </w:numPr>
        <w:spacing w:after="200" w:line="240" w:lineRule="auto"/>
        <w:ind w:left="1440"/>
        <w:jc w:val="both"/>
        <w:rPr>
          <w:rFonts w:ascii="Arial" w:hAnsi="Arial" w:cs="Arial"/>
        </w:rPr>
      </w:pPr>
      <w:r>
        <w:t xml:space="preserve">We will invest to improve parks, play areas and open spaces, including improvements to Hurst Grange, Birch Avenue - Penwortham, Moss Side Village Green, </w:t>
      </w:r>
      <w:proofErr w:type="spellStart"/>
      <w:r>
        <w:t>Farington</w:t>
      </w:r>
      <w:proofErr w:type="spellEnd"/>
      <w:r>
        <w:t xml:space="preserve"> Lodges, Strawberry Valley Park - Bent Lane, Withy Grove and Gregson Lane, </w:t>
      </w:r>
      <w:proofErr w:type="spellStart"/>
      <w:r>
        <w:t>Ryden</w:t>
      </w:r>
      <w:proofErr w:type="spellEnd"/>
      <w:r>
        <w:t xml:space="preserve"> Avenue, Hutton and Worden Park in 2022/23 and Longton, New Longton and King George V</w:t>
      </w:r>
      <w:r>
        <w:t xml:space="preserve"> and Margaret Road in</w:t>
      </w:r>
      <w:r>
        <w:t xml:space="preserve"> Penwortham in 2023/24. We will also invest £200k for improvements to smaller open space and play areas. </w:t>
      </w:r>
    </w:p>
    <w:p w14:paraId="6BF706D5" w14:textId="629504B4" w:rsidR="0028310B" w:rsidRPr="00D04C2B" w:rsidRDefault="0028310B" w:rsidP="0028310B">
      <w:pPr>
        <w:pStyle w:val="ListParagraph"/>
        <w:numPr>
          <w:ilvl w:val="0"/>
          <w:numId w:val="33"/>
        </w:numPr>
        <w:spacing w:after="200" w:line="240" w:lineRule="auto"/>
        <w:ind w:left="1440"/>
        <w:jc w:val="both"/>
        <w:rPr>
          <w:rFonts w:ascii="Arial" w:hAnsi="Arial" w:cs="Arial"/>
          <w:i/>
          <w:iCs/>
        </w:rPr>
      </w:pPr>
      <w:r>
        <w:lastRenderedPageBreak/>
        <w:t>£3.1m to continue to support the development of affordable homes</w:t>
      </w:r>
      <w:r w:rsidR="000702A5">
        <w:t xml:space="preserve"> with</w:t>
      </w:r>
      <w:r>
        <w:t xml:space="preserve"> 15 new affordable homes on the McKenzie Arms site in Bamber Bridge; this means residents from across the borough can have access to affordable, safe and environmentally friendly housing, and will meet the demand of stock which is vitally needed.</w:t>
      </w:r>
    </w:p>
    <w:p w14:paraId="7ECDF8E9" w14:textId="77777777" w:rsidR="0028310B" w:rsidRPr="00440E06" w:rsidRDefault="0028310B" w:rsidP="0028310B">
      <w:pPr>
        <w:pStyle w:val="ListParagraph"/>
        <w:numPr>
          <w:ilvl w:val="0"/>
          <w:numId w:val="33"/>
        </w:numPr>
        <w:spacing w:after="200" w:line="240" w:lineRule="auto"/>
        <w:ind w:left="1440"/>
        <w:jc w:val="both"/>
        <w:rPr>
          <w:rFonts w:ascii="Arial" w:hAnsi="Arial" w:cs="Arial"/>
          <w:i/>
          <w:iCs/>
        </w:rPr>
      </w:pPr>
      <w:r>
        <w:t>We will invest £1.600m to improve our leisure centre facilities</w:t>
      </w:r>
    </w:p>
    <w:p w14:paraId="4E111895" w14:textId="77777777" w:rsidR="00F23BE7" w:rsidRPr="00F23BE7" w:rsidRDefault="00F23BE7" w:rsidP="00F23BE7">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left="567"/>
        <w:jc w:val="both"/>
        <w:rPr>
          <w:rFonts w:asciiTheme="majorHAnsi" w:hAnsiTheme="majorHAnsi" w:cstheme="majorHAnsi"/>
          <w:color w:val="000000" w:themeColor="text1"/>
        </w:rPr>
      </w:pPr>
    </w:p>
    <w:p w14:paraId="41BC1E57" w14:textId="09E24E0D" w:rsidR="00564EDD" w:rsidRPr="006C538C" w:rsidRDefault="00F23BE7" w:rsidP="006C538C">
      <w:pPr>
        <w:pStyle w:val="Heading1"/>
        <w:spacing w:before="0" w:beforeAutospacing="0" w:after="0" w:afterAutospacing="0"/>
        <w:rPr>
          <w:rFonts w:asciiTheme="majorHAnsi" w:eastAsiaTheme="minorHAnsi" w:hAnsiTheme="majorHAnsi" w:cstheme="majorHAnsi"/>
          <w:color w:val="147FA8"/>
          <w:kern w:val="0"/>
          <w:sz w:val="22"/>
          <w:szCs w:val="22"/>
          <w:lang w:eastAsia="en-US"/>
        </w:rPr>
      </w:pPr>
      <w:r>
        <w:rPr>
          <w:rFonts w:asciiTheme="majorHAnsi" w:eastAsiaTheme="minorHAnsi" w:hAnsiTheme="majorHAnsi" w:cstheme="majorHAnsi"/>
          <w:color w:val="147FA8"/>
          <w:kern w:val="0"/>
          <w:sz w:val="28"/>
          <w:szCs w:val="28"/>
          <w:lang w:eastAsia="en-US"/>
        </w:rPr>
        <w:t>M</w:t>
      </w:r>
      <w:r w:rsidR="00564EDD" w:rsidRPr="005E531A">
        <w:rPr>
          <w:rFonts w:asciiTheme="majorHAnsi" w:eastAsiaTheme="minorHAnsi" w:hAnsiTheme="majorHAnsi" w:cstheme="majorHAnsi"/>
          <w:color w:val="147FA8"/>
          <w:kern w:val="0"/>
          <w:sz w:val="28"/>
          <w:szCs w:val="28"/>
          <w:lang w:eastAsia="en-US"/>
        </w:rPr>
        <w:t xml:space="preserve">EETING THE FINANCIAL CHALLENGE </w:t>
      </w:r>
    </w:p>
    <w:p w14:paraId="1C93AD57" w14:textId="77777777" w:rsidR="003A0340" w:rsidRPr="005E531A" w:rsidRDefault="003A0340" w:rsidP="003A0340">
      <w:pPr>
        <w:pBdr>
          <w:top w:val="single" w:sz="2" w:space="1" w:color="FFFFFF"/>
          <w:left w:val="single" w:sz="2" w:space="0" w:color="FFFFFF"/>
          <w:bottom w:val="single" w:sz="2" w:space="2" w:color="FFFFFF"/>
          <w:right w:val="single" w:sz="2" w:space="4" w:color="FFFFFF"/>
        </w:pBdr>
        <w:spacing w:after="0" w:line="240" w:lineRule="auto"/>
        <w:jc w:val="both"/>
        <w:rPr>
          <w:rFonts w:asciiTheme="majorHAnsi" w:hAnsiTheme="majorHAnsi" w:cstheme="majorHAnsi"/>
          <w:color w:val="000000" w:themeColor="text1"/>
        </w:rPr>
      </w:pPr>
    </w:p>
    <w:p w14:paraId="63F69C33" w14:textId="73892E38" w:rsidR="002D2919" w:rsidRPr="000338B0" w:rsidRDefault="004750E0" w:rsidP="002D2919">
      <w:pPr>
        <w:pStyle w:val="ListParagraph"/>
        <w:numPr>
          <w:ilvl w:val="0"/>
          <w:numId w:val="25"/>
        </w:numPr>
        <w:pBdr>
          <w:top w:val="single" w:sz="2" w:space="1" w:color="FFFFFF"/>
          <w:left w:val="single" w:sz="2" w:space="0" w:color="FFFFFF"/>
          <w:bottom w:val="single" w:sz="2" w:space="2" w:color="FFFFFF"/>
          <w:right w:val="single" w:sz="2" w:space="4" w:color="FFFFFF"/>
        </w:pBdr>
        <w:tabs>
          <w:tab w:val="left" w:pos="567"/>
        </w:tabs>
        <w:spacing w:after="0" w:line="240" w:lineRule="auto"/>
        <w:ind w:left="360"/>
        <w:jc w:val="both"/>
        <w:rPr>
          <w:rFonts w:ascii="Arial" w:hAnsi="Arial" w:cs="Arial"/>
        </w:rPr>
      </w:pPr>
      <w:r w:rsidRPr="000338B0">
        <w:rPr>
          <w:rFonts w:asciiTheme="majorHAnsi" w:hAnsiTheme="majorHAnsi" w:cstheme="majorHAnsi"/>
          <w:color w:val="000000" w:themeColor="text1"/>
        </w:rPr>
        <w:t xml:space="preserve">The </w:t>
      </w:r>
      <w:r w:rsidR="002D2919" w:rsidRPr="000338B0">
        <w:rPr>
          <w:rFonts w:ascii="Arial" w:hAnsi="Arial" w:cs="Arial"/>
        </w:rPr>
        <w:t xml:space="preserve">last medium-term financial strategy reported to Full Council in February 2021 set out the council’s approach in meeting the financial challenges over the period 2021/22 to 2023/24. The council’s </w:t>
      </w:r>
      <w:r w:rsidR="000338B0" w:rsidRPr="000338B0">
        <w:rPr>
          <w:rFonts w:ascii="Arial" w:hAnsi="Arial" w:cs="Arial"/>
        </w:rPr>
        <w:t xml:space="preserve">MTFS has guided work to bridge the gap and deliver a balanced budget through </w:t>
      </w:r>
      <w:proofErr w:type="spellStart"/>
      <w:r w:rsidR="002D2919" w:rsidRPr="000338B0">
        <w:rPr>
          <w:rFonts w:ascii="Arial" w:hAnsi="Arial" w:cs="Arial"/>
        </w:rPr>
        <w:t>through</w:t>
      </w:r>
      <w:proofErr w:type="spellEnd"/>
      <w:r w:rsidR="002D2919" w:rsidRPr="000338B0">
        <w:rPr>
          <w:rFonts w:ascii="Arial" w:hAnsi="Arial" w:cs="Arial"/>
        </w:rPr>
        <w:t>:</w:t>
      </w:r>
    </w:p>
    <w:p w14:paraId="06D34E56" w14:textId="77777777" w:rsidR="002D2919" w:rsidRPr="000338B0" w:rsidRDefault="002D2919" w:rsidP="002D2919">
      <w:pPr>
        <w:pStyle w:val="ListParagraph"/>
        <w:spacing w:after="0" w:line="240" w:lineRule="auto"/>
        <w:ind w:left="1080"/>
        <w:jc w:val="both"/>
        <w:rPr>
          <w:rFonts w:ascii="Arial" w:hAnsi="Arial" w:cs="Arial"/>
        </w:rPr>
      </w:pPr>
    </w:p>
    <w:p w14:paraId="7370EBBE" w14:textId="63B6F84D" w:rsidR="002D2919" w:rsidRPr="000338B0" w:rsidRDefault="002D2919" w:rsidP="002D2919">
      <w:pPr>
        <w:pStyle w:val="ListParagraph"/>
        <w:numPr>
          <w:ilvl w:val="0"/>
          <w:numId w:val="34"/>
        </w:numPr>
        <w:spacing w:after="0" w:line="240" w:lineRule="auto"/>
        <w:jc w:val="both"/>
        <w:rPr>
          <w:rFonts w:ascii="Arial" w:hAnsi="Arial" w:cs="Arial"/>
        </w:rPr>
      </w:pPr>
      <w:r w:rsidRPr="000338B0">
        <w:rPr>
          <w:rFonts w:ascii="Arial" w:hAnsi="Arial" w:cs="Arial"/>
        </w:rPr>
        <w:t>productivity savings including modernisation of services, delivery of the Digital Strategy and continually reviewing its staffing structures to ensure they are efficient and fit-for purpose.</w:t>
      </w:r>
    </w:p>
    <w:p w14:paraId="29789A9D" w14:textId="12D04072" w:rsidR="000338B0" w:rsidRPr="000338B0" w:rsidRDefault="000338B0" w:rsidP="002D2919">
      <w:pPr>
        <w:pStyle w:val="ListParagraph"/>
        <w:numPr>
          <w:ilvl w:val="0"/>
          <w:numId w:val="34"/>
        </w:numPr>
        <w:spacing w:after="0" w:line="240" w:lineRule="auto"/>
        <w:jc w:val="both"/>
        <w:rPr>
          <w:rFonts w:ascii="Arial" w:hAnsi="Arial" w:cs="Arial"/>
        </w:rPr>
      </w:pPr>
      <w:r w:rsidRPr="000338B0">
        <w:rPr>
          <w:rFonts w:ascii="Arial" w:hAnsi="Arial" w:cs="Arial"/>
        </w:rPr>
        <w:t>delivery of shared services, realising significant savings while improving and building resilience in services</w:t>
      </w:r>
    </w:p>
    <w:p w14:paraId="7F79ED01" w14:textId="77777777" w:rsidR="000E0A64" w:rsidRPr="000338B0" w:rsidRDefault="000E0A64" w:rsidP="000E0A64">
      <w:pPr>
        <w:pStyle w:val="ListParagraph"/>
        <w:pBdr>
          <w:top w:val="single" w:sz="2" w:space="1" w:color="FFFFFF"/>
          <w:left w:val="single" w:sz="2" w:space="0" w:color="FFFFFF"/>
          <w:bottom w:val="single" w:sz="2" w:space="2" w:color="FFFFFF"/>
          <w:right w:val="single" w:sz="2" w:space="4" w:color="FFFFFF"/>
        </w:pBdr>
        <w:spacing w:after="0" w:line="240" w:lineRule="auto"/>
        <w:ind w:left="567"/>
        <w:jc w:val="both"/>
        <w:rPr>
          <w:rFonts w:asciiTheme="majorHAnsi" w:hAnsiTheme="majorHAnsi" w:cstheme="majorHAnsi"/>
          <w:color w:val="000000" w:themeColor="text1"/>
        </w:rPr>
      </w:pPr>
    </w:p>
    <w:p w14:paraId="69A4B8BE" w14:textId="1DCCC4FB" w:rsidR="00564EDD" w:rsidRPr="005E531A" w:rsidRDefault="00564EDD" w:rsidP="00564EDD">
      <w:pPr>
        <w:pStyle w:val="Heading2"/>
        <w:spacing w:after="0" w:afterAutospacing="0"/>
        <w:rPr>
          <w:rFonts w:ascii="Arial" w:eastAsiaTheme="minorHAnsi" w:hAnsi="Arial" w:cs="Arial"/>
          <w:color w:val="147FA8"/>
          <w:sz w:val="24"/>
          <w:szCs w:val="24"/>
        </w:rPr>
      </w:pPr>
      <w:r w:rsidRPr="000338B0">
        <w:rPr>
          <w:rFonts w:ascii="Arial" w:eastAsiaTheme="minorHAnsi" w:hAnsi="Arial" w:cs="Arial"/>
          <w:color w:val="147FA8"/>
          <w:sz w:val="24"/>
          <w:szCs w:val="24"/>
        </w:rPr>
        <w:t>SENIOR LEADERSHIP TEAM</w:t>
      </w:r>
    </w:p>
    <w:p w14:paraId="6F505186" w14:textId="444FAC1B" w:rsidR="00564EDD" w:rsidRDefault="00564EDD" w:rsidP="001E7EE4">
      <w:pPr>
        <w:spacing w:after="0"/>
        <w:rPr>
          <w:rFonts w:asciiTheme="majorHAnsi" w:hAnsiTheme="majorHAnsi" w:cstheme="majorHAnsi"/>
          <w:color w:val="000000" w:themeColor="text1"/>
        </w:rPr>
      </w:pPr>
    </w:p>
    <w:p w14:paraId="4B225E27" w14:textId="3180A42C" w:rsidR="000E0A64" w:rsidRPr="000E0A64" w:rsidRDefault="000E0A64" w:rsidP="009C48D4">
      <w:pPr>
        <w:pStyle w:val="ListParagraph"/>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Arial" w:hAnsi="Arial" w:cs="Arial"/>
        </w:rPr>
      </w:pPr>
      <w:r w:rsidRPr="000E0A64">
        <w:rPr>
          <w:rFonts w:asciiTheme="majorHAnsi" w:hAnsiTheme="majorHAnsi" w:cstheme="majorHAnsi"/>
          <w:color w:val="000000" w:themeColor="text1"/>
        </w:rPr>
        <w:t>In terms of transformation, the purpose of the Senior Leadership Team is to:</w:t>
      </w:r>
    </w:p>
    <w:p w14:paraId="38BC3E58" w14:textId="77777777" w:rsidR="000E0A64" w:rsidRPr="0039561E" w:rsidRDefault="000E0A64" w:rsidP="009C48D4">
      <w:pPr>
        <w:pStyle w:val="ListParagraph"/>
        <w:numPr>
          <w:ilvl w:val="0"/>
          <w:numId w:val="37"/>
        </w:numPr>
        <w:spacing w:after="0" w:line="240" w:lineRule="auto"/>
        <w:jc w:val="both"/>
        <w:rPr>
          <w:rFonts w:ascii="Arial" w:hAnsi="Arial" w:cs="Arial"/>
        </w:rPr>
      </w:pPr>
      <w:r w:rsidRPr="0039561E">
        <w:rPr>
          <w:rFonts w:ascii="Arial" w:hAnsi="Arial" w:cs="Arial"/>
        </w:rPr>
        <w:t>Monitor project progress and issues</w:t>
      </w:r>
    </w:p>
    <w:p w14:paraId="28B0901C" w14:textId="77777777" w:rsidR="000E0A64" w:rsidRPr="0039561E" w:rsidRDefault="000E0A64" w:rsidP="009C48D4">
      <w:pPr>
        <w:pStyle w:val="ListParagraph"/>
        <w:numPr>
          <w:ilvl w:val="0"/>
          <w:numId w:val="37"/>
        </w:numPr>
        <w:spacing w:after="0" w:line="240" w:lineRule="auto"/>
        <w:jc w:val="both"/>
        <w:rPr>
          <w:rFonts w:ascii="Arial" w:hAnsi="Arial" w:cs="Arial"/>
        </w:rPr>
      </w:pPr>
      <w:r w:rsidRPr="0039561E">
        <w:rPr>
          <w:rFonts w:ascii="Arial" w:hAnsi="Arial" w:cs="Arial"/>
        </w:rPr>
        <w:t>Ensure proposals meet with the overall objectives of the Transformation Strategy and anticipated savings</w:t>
      </w:r>
    </w:p>
    <w:p w14:paraId="189554D2" w14:textId="77777777" w:rsidR="000E0A64" w:rsidRPr="0039561E" w:rsidRDefault="000E0A64" w:rsidP="009C48D4">
      <w:pPr>
        <w:pStyle w:val="ListParagraph"/>
        <w:numPr>
          <w:ilvl w:val="0"/>
          <w:numId w:val="37"/>
        </w:numPr>
        <w:spacing w:after="0" w:line="240" w:lineRule="auto"/>
        <w:jc w:val="both"/>
        <w:rPr>
          <w:rFonts w:ascii="Arial" w:hAnsi="Arial" w:cs="Arial"/>
        </w:rPr>
      </w:pPr>
      <w:r w:rsidRPr="0039561E">
        <w:rPr>
          <w:rFonts w:ascii="Arial" w:hAnsi="Arial" w:cs="Arial"/>
        </w:rPr>
        <w:t xml:space="preserve">Consider dependencies between projects to make sure that activity is coordinated (particularly </w:t>
      </w:r>
      <w:proofErr w:type="gramStart"/>
      <w:r w:rsidRPr="0039561E">
        <w:rPr>
          <w:rFonts w:ascii="Arial" w:hAnsi="Arial" w:cs="Arial"/>
        </w:rPr>
        <w:t>with regard to</w:t>
      </w:r>
      <w:proofErr w:type="gramEnd"/>
      <w:r w:rsidRPr="0039561E">
        <w:rPr>
          <w:rFonts w:ascii="Arial" w:hAnsi="Arial" w:cs="Arial"/>
        </w:rPr>
        <w:t xml:space="preserve"> consultation/service reviews) and monitor overall demands on capacity</w:t>
      </w:r>
    </w:p>
    <w:p w14:paraId="33E3BD2E" w14:textId="686A7F66" w:rsidR="000E0A64" w:rsidRDefault="000E0A64" w:rsidP="009C48D4">
      <w:pPr>
        <w:pStyle w:val="ListParagraph"/>
        <w:numPr>
          <w:ilvl w:val="0"/>
          <w:numId w:val="37"/>
        </w:numPr>
        <w:spacing w:after="0" w:line="240" w:lineRule="auto"/>
        <w:jc w:val="both"/>
        <w:rPr>
          <w:rFonts w:ascii="Arial" w:hAnsi="Arial" w:cs="Arial"/>
        </w:rPr>
      </w:pPr>
      <w:r w:rsidRPr="0039561E">
        <w:rPr>
          <w:rFonts w:ascii="Arial" w:hAnsi="Arial" w:cs="Arial"/>
        </w:rPr>
        <w:t>Review and scrutinise corporate performance</w:t>
      </w:r>
      <w:r>
        <w:rPr>
          <w:rFonts w:ascii="Arial" w:hAnsi="Arial" w:cs="Arial"/>
        </w:rPr>
        <w:t>.</w:t>
      </w:r>
    </w:p>
    <w:p w14:paraId="58A66C1B" w14:textId="77777777" w:rsidR="000E0A64" w:rsidRPr="000E0A64" w:rsidRDefault="000E0A64" w:rsidP="000E0A64">
      <w:pPr>
        <w:spacing w:after="0"/>
        <w:jc w:val="both"/>
        <w:rPr>
          <w:rFonts w:ascii="Arial" w:hAnsi="Arial" w:cs="Arial"/>
        </w:rPr>
      </w:pPr>
    </w:p>
    <w:p w14:paraId="3F8CF662" w14:textId="1848C819" w:rsidR="00100460" w:rsidRPr="00FC6C93" w:rsidRDefault="00100460" w:rsidP="00FC6C93">
      <w:pPr>
        <w:pStyle w:val="Heading1"/>
        <w:spacing w:before="0" w:beforeAutospacing="0" w:after="0" w:afterAutospacing="0"/>
        <w:rPr>
          <w:rFonts w:asciiTheme="majorHAnsi" w:eastAsiaTheme="minorHAnsi" w:hAnsiTheme="majorHAnsi" w:cstheme="majorHAnsi"/>
          <w:color w:val="147FA8"/>
          <w:kern w:val="0"/>
          <w:sz w:val="28"/>
          <w:szCs w:val="28"/>
          <w:lang w:eastAsia="en-US"/>
        </w:rPr>
      </w:pPr>
      <w:r w:rsidRPr="00FC6C93">
        <w:rPr>
          <w:rFonts w:asciiTheme="majorHAnsi" w:eastAsiaTheme="minorHAnsi" w:hAnsiTheme="majorHAnsi" w:cstheme="majorHAnsi"/>
          <w:color w:val="147FA8"/>
          <w:kern w:val="0"/>
          <w:sz w:val="28"/>
          <w:szCs w:val="28"/>
          <w:lang w:eastAsia="en-US"/>
        </w:rPr>
        <w:t>WHAT IS THE BUDGET GAP?</w:t>
      </w:r>
    </w:p>
    <w:p w14:paraId="6569A079" w14:textId="77777777" w:rsidR="00BE37AE" w:rsidRDefault="00BE37AE" w:rsidP="00100460">
      <w:pPr>
        <w:spacing w:after="0"/>
        <w:rPr>
          <w:rFonts w:ascii="Arial" w:hAnsi="Arial" w:cs="Arial"/>
        </w:rPr>
      </w:pPr>
    </w:p>
    <w:p w14:paraId="0DB6B518" w14:textId="4424D8B5" w:rsidR="00100460" w:rsidRDefault="00100460" w:rsidP="00BE37AE">
      <w:pPr>
        <w:pStyle w:val="ListParagraph"/>
        <w:numPr>
          <w:ilvl w:val="0"/>
          <w:numId w:val="8"/>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ascii="Arial" w:hAnsi="Arial" w:cs="Arial"/>
        </w:rPr>
      </w:pPr>
      <w:r w:rsidRPr="00BE37AE">
        <w:rPr>
          <w:rFonts w:asciiTheme="majorHAnsi" w:hAnsiTheme="majorHAnsi" w:cstheme="majorHAnsi"/>
          <w:color w:val="000000" w:themeColor="text1"/>
        </w:rPr>
        <w:t>The</w:t>
      </w:r>
      <w:r>
        <w:rPr>
          <w:rFonts w:ascii="Arial" w:hAnsi="Arial" w:cs="Arial"/>
        </w:rPr>
        <w:t xml:space="preserve"> estimated budget gap based prior to actions be</w:t>
      </w:r>
      <w:r w:rsidR="00DA79E4">
        <w:rPr>
          <w:rFonts w:ascii="Arial" w:hAnsi="Arial" w:cs="Arial"/>
        </w:rPr>
        <w:t>ing</w:t>
      </w:r>
      <w:r>
        <w:rPr>
          <w:rFonts w:ascii="Arial" w:hAnsi="Arial" w:cs="Arial"/>
        </w:rPr>
        <w:t xml:space="preserve"> taken to balance the budget is:</w:t>
      </w:r>
    </w:p>
    <w:p w14:paraId="1A8EF73D" w14:textId="77777777" w:rsidR="00DA79E4" w:rsidRDefault="00DA79E4" w:rsidP="00DA79E4">
      <w:pPr>
        <w:pStyle w:val="ListParagraph"/>
        <w:pBdr>
          <w:top w:val="single" w:sz="2" w:space="1" w:color="FFFFFF"/>
          <w:left w:val="single" w:sz="2" w:space="0" w:color="FFFFFF"/>
          <w:bottom w:val="single" w:sz="2" w:space="2" w:color="FFFFFF"/>
          <w:right w:val="single" w:sz="2" w:space="4" w:color="FFFFFF"/>
        </w:pBdr>
        <w:tabs>
          <w:tab w:val="left" w:pos="0"/>
        </w:tabs>
        <w:ind w:left="567" w:right="141"/>
        <w:rPr>
          <w:bCs/>
          <w:iCs/>
          <w:u w:val="single"/>
        </w:rPr>
      </w:pPr>
    </w:p>
    <w:p w14:paraId="5BD1F27D" w14:textId="714A44C8" w:rsidR="00DA79E4" w:rsidRPr="00DA79E4" w:rsidRDefault="00DA79E4" w:rsidP="00DA79E4">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567" w:right="141"/>
        <w:rPr>
          <w:bCs/>
          <w:iCs/>
          <w:u w:val="single"/>
        </w:rPr>
      </w:pPr>
      <w:r>
        <w:rPr>
          <w:bCs/>
          <w:iCs/>
          <w:u w:val="single"/>
        </w:rPr>
        <w:t>South Ribble Borough Council Transformation Programme</w:t>
      </w:r>
    </w:p>
    <w:tbl>
      <w:tblPr>
        <w:tblW w:w="8080" w:type="dxa"/>
        <w:tblInd w:w="142" w:type="dxa"/>
        <w:tblLook w:val="04A0" w:firstRow="1" w:lastRow="0" w:firstColumn="1" w:lastColumn="0" w:noHBand="0" w:noVBand="1"/>
      </w:tblPr>
      <w:tblGrid>
        <w:gridCol w:w="4278"/>
        <w:gridCol w:w="1392"/>
        <w:gridCol w:w="1276"/>
        <w:gridCol w:w="1134"/>
      </w:tblGrid>
      <w:tr w:rsidR="00186523" w:rsidRPr="004A2838" w14:paraId="4C8B8881" w14:textId="77777777" w:rsidTr="009706BE">
        <w:trPr>
          <w:trHeight w:val="300"/>
        </w:trPr>
        <w:tc>
          <w:tcPr>
            <w:tcW w:w="4278" w:type="dxa"/>
            <w:vMerge w:val="restart"/>
            <w:tcBorders>
              <w:top w:val="nil"/>
              <w:left w:val="nil"/>
              <w:bottom w:val="nil"/>
              <w:right w:val="single" w:sz="8" w:space="0" w:color="auto"/>
            </w:tcBorders>
            <w:shd w:val="clear" w:color="000000" w:fill="FFFFFF"/>
            <w:vAlign w:val="center"/>
            <w:hideMark/>
          </w:tcPr>
          <w:p w14:paraId="20508339" w14:textId="77777777" w:rsidR="00DA79E4" w:rsidRPr="004A2838" w:rsidRDefault="00DA79E4" w:rsidP="00B02F8B">
            <w:pPr>
              <w:spacing w:after="0" w:line="240" w:lineRule="auto"/>
              <w:rPr>
                <w:rFonts w:ascii="Arial" w:eastAsia="Times New Roman" w:hAnsi="Arial" w:cs="Arial"/>
                <w:b/>
                <w:bCs/>
                <w:color w:val="000000"/>
                <w:lang w:eastAsia="en-GB"/>
              </w:rPr>
            </w:pPr>
            <w:r w:rsidRPr="004A2838">
              <w:rPr>
                <w:rFonts w:ascii="Arial" w:eastAsia="Times New Roman" w:hAnsi="Arial" w:cs="Arial"/>
                <w:b/>
                <w:bCs/>
                <w:color w:val="000000"/>
                <w:lang w:eastAsia="en-GB"/>
              </w:rPr>
              <w:t> </w:t>
            </w:r>
          </w:p>
        </w:tc>
        <w:tc>
          <w:tcPr>
            <w:tcW w:w="1392" w:type="dxa"/>
            <w:tcBorders>
              <w:top w:val="single" w:sz="8" w:space="0" w:color="auto"/>
              <w:left w:val="nil"/>
              <w:bottom w:val="nil"/>
              <w:right w:val="single" w:sz="8" w:space="0" w:color="auto"/>
            </w:tcBorders>
            <w:shd w:val="clear" w:color="000000" w:fill="A6A6A6"/>
            <w:vAlign w:val="center"/>
            <w:hideMark/>
          </w:tcPr>
          <w:p w14:paraId="4BC6E511" w14:textId="77777777" w:rsidR="00DA79E4" w:rsidRPr="004A2838" w:rsidRDefault="00DA79E4" w:rsidP="00B02F8B">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2022/23</w:t>
            </w:r>
          </w:p>
        </w:tc>
        <w:tc>
          <w:tcPr>
            <w:tcW w:w="1276" w:type="dxa"/>
            <w:tcBorders>
              <w:top w:val="single" w:sz="8" w:space="0" w:color="auto"/>
              <w:left w:val="nil"/>
              <w:bottom w:val="nil"/>
              <w:right w:val="single" w:sz="8" w:space="0" w:color="auto"/>
            </w:tcBorders>
            <w:shd w:val="clear" w:color="000000" w:fill="A6A6A6"/>
            <w:vAlign w:val="center"/>
            <w:hideMark/>
          </w:tcPr>
          <w:p w14:paraId="284EA255" w14:textId="77777777" w:rsidR="00DA79E4" w:rsidRPr="004A2838" w:rsidRDefault="00DA79E4" w:rsidP="00B02F8B">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2023/24</w:t>
            </w:r>
          </w:p>
        </w:tc>
        <w:tc>
          <w:tcPr>
            <w:tcW w:w="1134" w:type="dxa"/>
            <w:tcBorders>
              <w:top w:val="single" w:sz="8" w:space="0" w:color="auto"/>
              <w:left w:val="nil"/>
              <w:bottom w:val="nil"/>
              <w:right w:val="single" w:sz="8" w:space="0" w:color="auto"/>
            </w:tcBorders>
            <w:shd w:val="clear" w:color="000000" w:fill="A6A6A6"/>
            <w:vAlign w:val="center"/>
            <w:hideMark/>
          </w:tcPr>
          <w:p w14:paraId="6BB65298" w14:textId="77777777" w:rsidR="00DA79E4" w:rsidRPr="004A2838" w:rsidRDefault="00DA79E4" w:rsidP="00B02F8B">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2024/25</w:t>
            </w:r>
          </w:p>
        </w:tc>
      </w:tr>
      <w:tr w:rsidR="00186523" w:rsidRPr="004A2838" w14:paraId="553BCC1F" w14:textId="77777777" w:rsidTr="009706BE">
        <w:trPr>
          <w:trHeight w:val="315"/>
        </w:trPr>
        <w:tc>
          <w:tcPr>
            <w:tcW w:w="4278" w:type="dxa"/>
            <w:vMerge/>
            <w:tcBorders>
              <w:top w:val="nil"/>
              <w:left w:val="nil"/>
              <w:bottom w:val="nil"/>
              <w:right w:val="single" w:sz="8" w:space="0" w:color="auto"/>
            </w:tcBorders>
            <w:vAlign w:val="center"/>
            <w:hideMark/>
          </w:tcPr>
          <w:p w14:paraId="20009D4C" w14:textId="77777777" w:rsidR="00DA79E4" w:rsidRPr="004A2838" w:rsidRDefault="00DA79E4" w:rsidP="00B02F8B">
            <w:pPr>
              <w:spacing w:after="0" w:line="240" w:lineRule="auto"/>
              <w:rPr>
                <w:rFonts w:ascii="Arial" w:eastAsia="Times New Roman" w:hAnsi="Arial" w:cs="Arial"/>
                <w:b/>
                <w:bCs/>
                <w:color w:val="000000"/>
                <w:lang w:eastAsia="en-GB"/>
              </w:rPr>
            </w:pPr>
          </w:p>
        </w:tc>
        <w:tc>
          <w:tcPr>
            <w:tcW w:w="1392" w:type="dxa"/>
            <w:tcBorders>
              <w:top w:val="nil"/>
              <w:left w:val="nil"/>
              <w:bottom w:val="single" w:sz="8" w:space="0" w:color="auto"/>
              <w:right w:val="single" w:sz="8" w:space="0" w:color="auto"/>
            </w:tcBorders>
            <w:shd w:val="clear" w:color="000000" w:fill="A6A6A6"/>
            <w:vAlign w:val="center"/>
            <w:hideMark/>
          </w:tcPr>
          <w:p w14:paraId="529F3DAE" w14:textId="77777777" w:rsidR="00DA79E4" w:rsidRPr="004A2838" w:rsidRDefault="00DA79E4" w:rsidP="00B02F8B">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276" w:type="dxa"/>
            <w:tcBorders>
              <w:top w:val="nil"/>
              <w:left w:val="nil"/>
              <w:bottom w:val="single" w:sz="8" w:space="0" w:color="auto"/>
              <w:right w:val="single" w:sz="8" w:space="0" w:color="auto"/>
            </w:tcBorders>
            <w:shd w:val="clear" w:color="000000" w:fill="A6A6A6"/>
            <w:vAlign w:val="center"/>
            <w:hideMark/>
          </w:tcPr>
          <w:p w14:paraId="420E2A95" w14:textId="77777777" w:rsidR="00DA79E4" w:rsidRPr="004A2838" w:rsidRDefault="00DA79E4" w:rsidP="00B02F8B">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c>
          <w:tcPr>
            <w:tcW w:w="1134" w:type="dxa"/>
            <w:tcBorders>
              <w:top w:val="nil"/>
              <w:left w:val="nil"/>
              <w:bottom w:val="single" w:sz="8" w:space="0" w:color="auto"/>
              <w:right w:val="single" w:sz="8" w:space="0" w:color="auto"/>
            </w:tcBorders>
            <w:shd w:val="clear" w:color="000000" w:fill="A6A6A6"/>
            <w:vAlign w:val="center"/>
            <w:hideMark/>
          </w:tcPr>
          <w:p w14:paraId="34845EF6" w14:textId="77777777" w:rsidR="00DA79E4" w:rsidRPr="004A2838" w:rsidRDefault="00DA79E4" w:rsidP="00B02F8B">
            <w:pPr>
              <w:spacing w:after="0" w:line="240" w:lineRule="auto"/>
              <w:jc w:val="center"/>
              <w:rPr>
                <w:rFonts w:ascii="Arial" w:eastAsia="Times New Roman" w:hAnsi="Arial" w:cs="Arial"/>
                <w:b/>
                <w:bCs/>
                <w:color w:val="FFFFFF"/>
                <w:lang w:eastAsia="en-GB"/>
              </w:rPr>
            </w:pPr>
            <w:r w:rsidRPr="004A2838">
              <w:rPr>
                <w:rFonts w:ascii="Arial" w:eastAsia="Times New Roman" w:hAnsi="Arial" w:cs="Arial"/>
                <w:b/>
                <w:bCs/>
                <w:color w:val="FFFFFF"/>
                <w:lang w:eastAsia="en-GB"/>
              </w:rPr>
              <w:t>£m</w:t>
            </w:r>
          </w:p>
        </w:tc>
      </w:tr>
      <w:tr w:rsidR="00186523" w:rsidRPr="004A2838" w14:paraId="7E737E4A" w14:textId="77777777" w:rsidTr="009706BE">
        <w:trPr>
          <w:trHeight w:val="315"/>
        </w:trPr>
        <w:tc>
          <w:tcPr>
            <w:tcW w:w="4278" w:type="dxa"/>
            <w:tcBorders>
              <w:top w:val="nil"/>
              <w:left w:val="nil"/>
              <w:bottom w:val="single" w:sz="8" w:space="0" w:color="auto"/>
              <w:right w:val="nil"/>
            </w:tcBorders>
            <w:shd w:val="clear" w:color="000000" w:fill="FFFFFF"/>
            <w:vAlign w:val="center"/>
            <w:hideMark/>
          </w:tcPr>
          <w:p w14:paraId="7212A969" w14:textId="77777777" w:rsidR="00DA79E4" w:rsidRPr="004A2838" w:rsidRDefault="00DA79E4" w:rsidP="00B02F8B">
            <w:pPr>
              <w:spacing w:after="0" w:line="240" w:lineRule="auto"/>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392" w:type="dxa"/>
            <w:tcBorders>
              <w:top w:val="nil"/>
              <w:left w:val="nil"/>
              <w:bottom w:val="nil"/>
              <w:right w:val="nil"/>
            </w:tcBorders>
            <w:shd w:val="clear" w:color="000000" w:fill="FFFFFF"/>
            <w:vAlign w:val="center"/>
            <w:hideMark/>
          </w:tcPr>
          <w:p w14:paraId="50FA0D6A" w14:textId="77777777" w:rsidR="00DA79E4" w:rsidRPr="004A2838" w:rsidRDefault="00DA79E4" w:rsidP="00B02F8B">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276" w:type="dxa"/>
            <w:tcBorders>
              <w:top w:val="nil"/>
              <w:left w:val="nil"/>
              <w:bottom w:val="nil"/>
              <w:right w:val="nil"/>
            </w:tcBorders>
            <w:shd w:val="clear" w:color="000000" w:fill="FFFFFF"/>
            <w:vAlign w:val="center"/>
            <w:hideMark/>
          </w:tcPr>
          <w:p w14:paraId="23E1877B" w14:textId="77777777" w:rsidR="00DA79E4" w:rsidRPr="004A2838" w:rsidRDefault="00DA79E4" w:rsidP="00B02F8B">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c>
          <w:tcPr>
            <w:tcW w:w="1134" w:type="dxa"/>
            <w:tcBorders>
              <w:top w:val="nil"/>
              <w:left w:val="nil"/>
              <w:bottom w:val="nil"/>
              <w:right w:val="nil"/>
            </w:tcBorders>
            <w:shd w:val="clear" w:color="000000" w:fill="FFFFFF"/>
            <w:vAlign w:val="center"/>
            <w:hideMark/>
          </w:tcPr>
          <w:p w14:paraId="1E1749B6" w14:textId="77777777" w:rsidR="00DA79E4" w:rsidRPr="004A2838" w:rsidRDefault="00DA79E4" w:rsidP="00B02F8B">
            <w:pPr>
              <w:spacing w:after="0" w:line="240" w:lineRule="auto"/>
              <w:jc w:val="right"/>
              <w:rPr>
                <w:rFonts w:ascii="Arial" w:eastAsia="Times New Roman" w:hAnsi="Arial" w:cs="Arial"/>
                <w:color w:val="000000"/>
                <w:sz w:val="12"/>
                <w:szCs w:val="12"/>
                <w:lang w:eastAsia="en-GB"/>
              </w:rPr>
            </w:pPr>
            <w:r w:rsidRPr="004A2838">
              <w:rPr>
                <w:rFonts w:ascii="Arial" w:eastAsia="Times New Roman" w:hAnsi="Arial" w:cs="Arial"/>
                <w:color w:val="000000"/>
                <w:sz w:val="12"/>
                <w:szCs w:val="12"/>
                <w:lang w:eastAsia="en-GB"/>
              </w:rPr>
              <w:t> </w:t>
            </w:r>
          </w:p>
        </w:tc>
      </w:tr>
      <w:tr w:rsidR="00186523" w:rsidRPr="004A2838" w14:paraId="478F5C94" w14:textId="77777777" w:rsidTr="009706BE">
        <w:trPr>
          <w:trHeight w:val="315"/>
        </w:trPr>
        <w:tc>
          <w:tcPr>
            <w:tcW w:w="4278" w:type="dxa"/>
            <w:tcBorders>
              <w:top w:val="nil"/>
              <w:left w:val="single" w:sz="8" w:space="0" w:color="auto"/>
              <w:bottom w:val="single" w:sz="8" w:space="0" w:color="auto"/>
              <w:right w:val="single" w:sz="8" w:space="0" w:color="auto"/>
            </w:tcBorders>
            <w:shd w:val="clear" w:color="000000" w:fill="0070C0"/>
            <w:vAlign w:val="center"/>
            <w:hideMark/>
          </w:tcPr>
          <w:p w14:paraId="2FC0DF69" w14:textId="517DC2E2" w:rsidR="00DA79E4" w:rsidRPr="004A2838" w:rsidRDefault="00DA79E4" w:rsidP="00B02F8B">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TOTAL BUDGET DEFICIT</w:t>
            </w:r>
            <w:r>
              <w:rPr>
                <w:rFonts w:ascii="Arial" w:eastAsia="Times New Roman" w:hAnsi="Arial" w:cs="Arial"/>
                <w:b/>
                <w:bCs/>
                <w:color w:val="FFFFFF"/>
                <w:lang w:eastAsia="en-GB"/>
              </w:rPr>
              <w:t xml:space="preserve"> </w:t>
            </w:r>
          </w:p>
        </w:tc>
        <w:tc>
          <w:tcPr>
            <w:tcW w:w="1392" w:type="dxa"/>
            <w:tcBorders>
              <w:top w:val="single" w:sz="8" w:space="0" w:color="auto"/>
              <w:left w:val="nil"/>
              <w:bottom w:val="single" w:sz="8" w:space="0" w:color="auto"/>
              <w:right w:val="single" w:sz="8" w:space="0" w:color="auto"/>
            </w:tcBorders>
            <w:shd w:val="clear" w:color="000000" w:fill="0070C0"/>
            <w:vAlign w:val="center"/>
            <w:hideMark/>
          </w:tcPr>
          <w:p w14:paraId="154782CF" w14:textId="3DA02807" w:rsidR="00DA79E4" w:rsidRPr="00C058BA" w:rsidRDefault="00DA79E4" w:rsidP="00B02F8B">
            <w:pPr>
              <w:spacing w:after="0" w:line="240" w:lineRule="auto"/>
              <w:jc w:val="right"/>
              <w:rPr>
                <w:rFonts w:ascii="Arial" w:eastAsia="Times New Roman" w:hAnsi="Arial" w:cs="Arial"/>
                <w:b/>
                <w:bCs/>
                <w:color w:val="FFFFFF"/>
                <w:lang w:eastAsia="en-GB"/>
              </w:rPr>
            </w:pPr>
            <w:r w:rsidRPr="00C058BA">
              <w:rPr>
                <w:rFonts w:ascii="Arial" w:hAnsi="Arial" w:cs="Arial"/>
                <w:b/>
                <w:bCs/>
                <w:color w:val="FFFFFF"/>
              </w:rPr>
              <w:t>0.</w:t>
            </w:r>
            <w:r w:rsidR="0084028F">
              <w:rPr>
                <w:rFonts w:ascii="Arial" w:hAnsi="Arial" w:cs="Arial"/>
                <w:b/>
                <w:bCs/>
                <w:color w:val="FFFFFF"/>
              </w:rPr>
              <w:t>000</w:t>
            </w:r>
          </w:p>
        </w:tc>
        <w:tc>
          <w:tcPr>
            <w:tcW w:w="1276" w:type="dxa"/>
            <w:tcBorders>
              <w:top w:val="single" w:sz="8" w:space="0" w:color="auto"/>
              <w:left w:val="nil"/>
              <w:bottom w:val="single" w:sz="8" w:space="0" w:color="auto"/>
              <w:right w:val="single" w:sz="8" w:space="0" w:color="auto"/>
            </w:tcBorders>
            <w:shd w:val="clear" w:color="000000" w:fill="0070C0"/>
            <w:vAlign w:val="center"/>
            <w:hideMark/>
          </w:tcPr>
          <w:p w14:paraId="7371F37F" w14:textId="15A91736" w:rsidR="00DA79E4" w:rsidRPr="00C058BA" w:rsidRDefault="0084028F" w:rsidP="00B02F8B">
            <w:pPr>
              <w:spacing w:after="0" w:line="240" w:lineRule="auto"/>
              <w:jc w:val="right"/>
              <w:rPr>
                <w:rFonts w:ascii="Arial" w:eastAsia="Times New Roman" w:hAnsi="Arial" w:cs="Arial"/>
                <w:b/>
                <w:bCs/>
                <w:color w:val="FFFFFF"/>
                <w:lang w:eastAsia="en-GB"/>
              </w:rPr>
            </w:pPr>
            <w:r>
              <w:rPr>
                <w:rFonts w:ascii="Arial" w:hAnsi="Arial" w:cs="Arial"/>
                <w:b/>
                <w:bCs/>
                <w:color w:val="FFFFFF"/>
              </w:rPr>
              <w:t>0.739</w:t>
            </w:r>
          </w:p>
        </w:tc>
        <w:tc>
          <w:tcPr>
            <w:tcW w:w="1134" w:type="dxa"/>
            <w:tcBorders>
              <w:top w:val="single" w:sz="8" w:space="0" w:color="auto"/>
              <w:left w:val="nil"/>
              <w:bottom w:val="single" w:sz="8" w:space="0" w:color="auto"/>
              <w:right w:val="single" w:sz="8" w:space="0" w:color="auto"/>
            </w:tcBorders>
            <w:shd w:val="clear" w:color="000000" w:fill="0070C0"/>
            <w:vAlign w:val="center"/>
            <w:hideMark/>
          </w:tcPr>
          <w:p w14:paraId="75974718" w14:textId="65F6ADC9" w:rsidR="00DA79E4" w:rsidRPr="00C058BA" w:rsidRDefault="0084028F" w:rsidP="00B02F8B">
            <w:pPr>
              <w:spacing w:after="0" w:line="240" w:lineRule="auto"/>
              <w:jc w:val="right"/>
              <w:rPr>
                <w:rFonts w:ascii="Arial" w:eastAsia="Times New Roman" w:hAnsi="Arial" w:cs="Arial"/>
                <w:b/>
                <w:bCs/>
                <w:color w:val="FFFFFF"/>
                <w:lang w:eastAsia="en-GB"/>
              </w:rPr>
            </w:pPr>
            <w:r>
              <w:rPr>
                <w:rFonts w:ascii="Arial" w:hAnsi="Arial" w:cs="Arial"/>
                <w:b/>
                <w:bCs/>
                <w:color w:val="FFFFFF"/>
              </w:rPr>
              <w:t>1.014</w:t>
            </w:r>
          </w:p>
        </w:tc>
      </w:tr>
      <w:tr w:rsidR="00186523" w:rsidRPr="004A2838" w14:paraId="10600108" w14:textId="77777777" w:rsidTr="009706BE">
        <w:trPr>
          <w:trHeight w:val="300"/>
        </w:trPr>
        <w:tc>
          <w:tcPr>
            <w:tcW w:w="4278" w:type="dxa"/>
            <w:tcBorders>
              <w:top w:val="nil"/>
              <w:left w:val="nil"/>
              <w:bottom w:val="single" w:sz="4" w:space="0" w:color="auto"/>
              <w:right w:val="nil"/>
            </w:tcBorders>
            <w:shd w:val="clear" w:color="000000" w:fill="FFFFFF"/>
            <w:vAlign w:val="center"/>
            <w:hideMark/>
          </w:tcPr>
          <w:p w14:paraId="61DF7327" w14:textId="77777777" w:rsidR="00DA79E4" w:rsidRPr="004A2838" w:rsidRDefault="00DA79E4" w:rsidP="00B02F8B">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392" w:type="dxa"/>
            <w:tcBorders>
              <w:top w:val="nil"/>
              <w:left w:val="nil"/>
              <w:bottom w:val="single" w:sz="4" w:space="0" w:color="auto"/>
              <w:right w:val="nil"/>
            </w:tcBorders>
            <w:shd w:val="clear" w:color="000000" w:fill="FFFFFF"/>
            <w:vAlign w:val="center"/>
            <w:hideMark/>
          </w:tcPr>
          <w:p w14:paraId="545193C1" w14:textId="77777777" w:rsidR="00DA79E4" w:rsidRPr="004A2838" w:rsidRDefault="00DA79E4" w:rsidP="00B02F8B">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c>
          <w:tcPr>
            <w:tcW w:w="1276" w:type="dxa"/>
            <w:tcBorders>
              <w:top w:val="nil"/>
              <w:left w:val="nil"/>
              <w:bottom w:val="single" w:sz="4" w:space="0" w:color="auto"/>
              <w:right w:val="nil"/>
            </w:tcBorders>
            <w:shd w:val="clear" w:color="000000" w:fill="FFFFFF"/>
            <w:vAlign w:val="center"/>
            <w:hideMark/>
          </w:tcPr>
          <w:p w14:paraId="589E453A" w14:textId="77777777" w:rsidR="00DA79E4" w:rsidRPr="004A2838" w:rsidRDefault="00DA79E4" w:rsidP="00B02F8B">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c>
          <w:tcPr>
            <w:tcW w:w="1134" w:type="dxa"/>
            <w:tcBorders>
              <w:top w:val="nil"/>
              <w:left w:val="nil"/>
              <w:bottom w:val="single" w:sz="4" w:space="0" w:color="auto"/>
              <w:right w:val="nil"/>
            </w:tcBorders>
            <w:shd w:val="clear" w:color="000000" w:fill="FFFFFF"/>
            <w:vAlign w:val="center"/>
            <w:hideMark/>
          </w:tcPr>
          <w:p w14:paraId="4AD2B469" w14:textId="77777777" w:rsidR="00DA79E4" w:rsidRPr="004A2838" w:rsidRDefault="00DA79E4" w:rsidP="00B02F8B">
            <w:pPr>
              <w:spacing w:after="0" w:line="240" w:lineRule="auto"/>
              <w:jc w:val="right"/>
              <w:rPr>
                <w:rFonts w:ascii="Arial" w:eastAsia="Times New Roman" w:hAnsi="Arial" w:cs="Arial"/>
                <w:b/>
                <w:bCs/>
                <w:color w:val="FFFFFF"/>
                <w:sz w:val="12"/>
                <w:szCs w:val="12"/>
                <w:lang w:eastAsia="en-GB"/>
              </w:rPr>
            </w:pPr>
            <w:r>
              <w:rPr>
                <w:rFonts w:ascii="Arial" w:hAnsi="Arial" w:cs="Arial"/>
                <w:b/>
                <w:bCs/>
                <w:color w:val="FFFFFF"/>
                <w:sz w:val="12"/>
                <w:szCs w:val="12"/>
              </w:rPr>
              <w:t> </w:t>
            </w:r>
          </w:p>
        </w:tc>
      </w:tr>
      <w:tr w:rsidR="00186523" w:rsidRPr="004A2838" w14:paraId="0C81F02E" w14:textId="77777777" w:rsidTr="009706BE">
        <w:trPr>
          <w:trHeight w:val="315"/>
        </w:trPr>
        <w:tc>
          <w:tcPr>
            <w:tcW w:w="4278"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E669427" w14:textId="26E8F14C" w:rsidR="00DA79E4" w:rsidRPr="00DA79E4" w:rsidRDefault="00DA79E4" w:rsidP="00B02F8B">
            <w:pPr>
              <w:spacing w:after="0" w:line="240" w:lineRule="auto"/>
              <w:rPr>
                <w:rFonts w:ascii="Arial" w:eastAsia="Times New Roman" w:hAnsi="Arial" w:cs="Arial"/>
                <w:color w:val="000000"/>
                <w:highlight w:val="yellow"/>
                <w:lang w:eastAsia="en-GB"/>
              </w:rPr>
            </w:pPr>
            <w:r w:rsidRPr="00C058BA">
              <w:rPr>
                <w:rFonts w:ascii="Arial" w:eastAsia="Times New Roman" w:hAnsi="Arial" w:cs="Arial"/>
                <w:color w:val="000000"/>
                <w:lang w:eastAsia="en-GB"/>
              </w:rPr>
              <w:t xml:space="preserve">Council Tax Increase – </w:t>
            </w:r>
            <w:r w:rsidR="00C058BA" w:rsidRPr="00C058BA">
              <w:rPr>
                <w:rFonts w:ascii="Arial" w:eastAsia="Times New Roman" w:hAnsi="Arial" w:cs="Arial"/>
                <w:color w:val="000000"/>
                <w:lang w:eastAsia="en-GB"/>
              </w:rPr>
              <w:t xml:space="preserve">Freeze in </w:t>
            </w:r>
            <w:r w:rsidRPr="00C058BA">
              <w:rPr>
                <w:rFonts w:ascii="Arial" w:eastAsia="Times New Roman" w:hAnsi="Arial" w:cs="Arial"/>
                <w:color w:val="000000"/>
                <w:lang w:eastAsia="en-GB"/>
              </w:rPr>
              <w:t>22/23</w:t>
            </w:r>
            <w:r w:rsidR="00C058BA" w:rsidRPr="00C058BA">
              <w:rPr>
                <w:rFonts w:ascii="Arial" w:eastAsia="Times New Roman" w:hAnsi="Arial" w:cs="Arial"/>
                <w:color w:val="000000"/>
                <w:lang w:eastAsia="en-GB"/>
              </w:rPr>
              <w:t xml:space="preserve"> and</w:t>
            </w:r>
            <w:r w:rsidRPr="00C058BA">
              <w:rPr>
                <w:rFonts w:ascii="Arial" w:eastAsia="Times New Roman" w:hAnsi="Arial" w:cs="Arial"/>
                <w:color w:val="000000"/>
                <w:lang w:eastAsia="en-GB"/>
              </w:rPr>
              <w:t xml:space="preserve"> 23/24 &amp; </w:t>
            </w:r>
            <w:r w:rsidR="00C058BA" w:rsidRPr="00C058BA">
              <w:rPr>
                <w:rFonts w:ascii="Arial" w:eastAsia="Times New Roman" w:hAnsi="Arial" w:cs="Arial"/>
                <w:color w:val="000000"/>
                <w:lang w:eastAsia="en-GB"/>
              </w:rPr>
              <w:t xml:space="preserve">1.99% increase in </w:t>
            </w:r>
            <w:r w:rsidRPr="00C058BA">
              <w:rPr>
                <w:rFonts w:ascii="Arial" w:eastAsia="Times New Roman" w:hAnsi="Arial" w:cs="Arial"/>
                <w:color w:val="000000"/>
                <w:lang w:eastAsia="en-GB"/>
              </w:rPr>
              <w:t>24/25</w:t>
            </w:r>
          </w:p>
        </w:tc>
        <w:tc>
          <w:tcPr>
            <w:tcW w:w="1392" w:type="dxa"/>
            <w:tcBorders>
              <w:top w:val="single" w:sz="4" w:space="0" w:color="auto"/>
              <w:left w:val="nil"/>
              <w:bottom w:val="single" w:sz="8" w:space="0" w:color="auto"/>
              <w:right w:val="single" w:sz="8" w:space="0" w:color="auto"/>
            </w:tcBorders>
            <w:shd w:val="clear" w:color="000000" w:fill="FFFFFF"/>
            <w:vAlign w:val="center"/>
            <w:hideMark/>
          </w:tcPr>
          <w:p w14:paraId="404E9255" w14:textId="5D50658B"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w:t>
            </w:r>
            <w:r w:rsidR="00C058BA" w:rsidRPr="00C058BA">
              <w:rPr>
                <w:rFonts w:ascii="Arial" w:hAnsi="Arial" w:cs="Arial"/>
                <w:color w:val="FF0000"/>
              </w:rPr>
              <w:t>000</w:t>
            </w:r>
            <w:r w:rsidRPr="00C058BA">
              <w:rPr>
                <w:rFonts w:ascii="Arial" w:hAnsi="Arial" w:cs="Arial"/>
                <w:color w:val="FF0000"/>
              </w:rPr>
              <w:t>)</w:t>
            </w:r>
          </w:p>
        </w:tc>
        <w:tc>
          <w:tcPr>
            <w:tcW w:w="1276" w:type="dxa"/>
            <w:tcBorders>
              <w:top w:val="single" w:sz="4" w:space="0" w:color="auto"/>
              <w:left w:val="nil"/>
              <w:bottom w:val="single" w:sz="8" w:space="0" w:color="auto"/>
              <w:right w:val="single" w:sz="8" w:space="0" w:color="auto"/>
            </w:tcBorders>
            <w:shd w:val="clear" w:color="000000" w:fill="FFFFFF"/>
            <w:vAlign w:val="center"/>
            <w:hideMark/>
          </w:tcPr>
          <w:p w14:paraId="21508B97" w14:textId="12B37F81"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w:t>
            </w:r>
            <w:r w:rsidR="00C058BA" w:rsidRPr="00C058BA">
              <w:rPr>
                <w:rFonts w:ascii="Arial" w:hAnsi="Arial" w:cs="Arial"/>
                <w:color w:val="FF0000"/>
              </w:rPr>
              <w:t>000</w:t>
            </w:r>
            <w:r w:rsidRPr="00C058BA">
              <w:rPr>
                <w:rFonts w:ascii="Arial" w:hAnsi="Arial" w:cs="Arial"/>
                <w:color w:val="FF0000"/>
              </w:rPr>
              <w:t>)</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14:paraId="2A07E8FD" w14:textId="3A0FB02E" w:rsidR="00DA79E4" w:rsidRPr="0084028F" w:rsidRDefault="00DA79E4" w:rsidP="00B02F8B">
            <w:pPr>
              <w:spacing w:after="0" w:line="240" w:lineRule="auto"/>
              <w:jc w:val="right"/>
              <w:rPr>
                <w:rFonts w:ascii="Arial" w:eastAsia="Times New Roman" w:hAnsi="Arial" w:cs="Arial"/>
                <w:color w:val="FF0000"/>
                <w:lang w:eastAsia="en-GB"/>
              </w:rPr>
            </w:pPr>
            <w:r w:rsidRPr="0084028F">
              <w:rPr>
                <w:rFonts w:ascii="Arial" w:hAnsi="Arial" w:cs="Arial"/>
                <w:color w:val="FF0000"/>
              </w:rPr>
              <w:t>(0.</w:t>
            </w:r>
            <w:r w:rsidR="00C058BA" w:rsidRPr="0084028F">
              <w:rPr>
                <w:rFonts w:ascii="Arial" w:hAnsi="Arial" w:cs="Arial"/>
                <w:color w:val="FF0000"/>
              </w:rPr>
              <w:t>162</w:t>
            </w:r>
            <w:r w:rsidRPr="0084028F">
              <w:rPr>
                <w:rFonts w:ascii="Arial" w:hAnsi="Arial" w:cs="Arial"/>
                <w:color w:val="FF0000"/>
              </w:rPr>
              <w:t>)</w:t>
            </w:r>
          </w:p>
        </w:tc>
      </w:tr>
      <w:tr w:rsidR="00186523" w:rsidRPr="004A2838" w14:paraId="0A281214" w14:textId="77777777" w:rsidTr="009706BE">
        <w:trPr>
          <w:trHeight w:val="315"/>
        </w:trPr>
        <w:tc>
          <w:tcPr>
            <w:tcW w:w="4278" w:type="dxa"/>
            <w:tcBorders>
              <w:top w:val="nil"/>
              <w:left w:val="single" w:sz="8" w:space="0" w:color="auto"/>
              <w:bottom w:val="single" w:sz="8" w:space="0" w:color="auto"/>
              <w:right w:val="single" w:sz="8" w:space="0" w:color="auto"/>
            </w:tcBorders>
            <w:shd w:val="clear" w:color="000000" w:fill="FFFFFF"/>
            <w:vAlign w:val="center"/>
            <w:hideMark/>
          </w:tcPr>
          <w:p w14:paraId="6FE7C603" w14:textId="03DBFEF6" w:rsidR="00DA79E4" w:rsidRPr="004A2838" w:rsidRDefault="00DA79E4" w:rsidP="00B02F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Net Income from Capital Investment</w:t>
            </w:r>
          </w:p>
        </w:tc>
        <w:tc>
          <w:tcPr>
            <w:tcW w:w="1392" w:type="dxa"/>
            <w:tcBorders>
              <w:top w:val="nil"/>
              <w:left w:val="nil"/>
              <w:bottom w:val="single" w:sz="8" w:space="0" w:color="auto"/>
              <w:right w:val="single" w:sz="8" w:space="0" w:color="auto"/>
            </w:tcBorders>
            <w:shd w:val="clear" w:color="000000" w:fill="FFFFFF"/>
            <w:vAlign w:val="center"/>
            <w:hideMark/>
          </w:tcPr>
          <w:p w14:paraId="29A44EDD" w14:textId="53E8CF54"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(0.000)</w:t>
            </w:r>
          </w:p>
        </w:tc>
        <w:tc>
          <w:tcPr>
            <w:tcW w:w="1276" w:type="dxa"/>
            <w:tcBorders>
              <w:top w:val="nil"/>
              <w:left w:val="nil"/>
              <w:bottom w:val="single" w:sz="8" w:space="0" w:color="auto"/>
              <w:right w:val="single" w:sz="8" w:space="0" w:color="auto"/>
            </w:tcBorders>
            <w:shd w:val="clear" w:color="000000" w:fill="FFFFFF"/>
            <w:vAlign w:val="center"/>
            <w:hideMark/>
          </w:tcPr>
          <w:p w14:paraId="1F722BCF" w14:textId="102171D2"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(0.065)</w:t>
            </w:r>
          </w:p>
        </w:tc>
        <w:tc>
          <w:tcPr>
            <w:tcW w:w="1134" w:type="dxa"/>
            <w:tcBorders>
              <w:top w:val="nil"/>
              <w:left w:val="nil"/>
              <w:bottom w:val="single" w:sz="8" w:space="0" w:color="auto"/>
              <w:right w:val="single" w:sz="8" w:space="0" w:color="auto"/>
            </w:tcBorders>
            <w:shd w:val="clear" w:color="000000" w:fill="FFFFFF"/>
            <w:vAlign w:val="center"/>
            <w:hideMark/>
          </w:tcPr>
          <w:p w14:paraId="7A076E86" w14:textId="66C8D753"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(0.0</w:t>
            </w:r>
            <w:r w:rsidR="00607B3A" w:rsidRPr="00C058BA">
              <w:rPr>
                <w:rFonts w:ascii="Arial" w:hAnsi="Arial" w:cs="Arial"/>
                <w:color w:val="FF0000"/>
              </w:rPr>
              <w:t>65</w:t>
            </w:r>
            <w:r w:rsidRPr="00C058BA">
              <w:rPr>
                <w:rFonts w:ascii="Arial" w:hAnsi="Arial" w:cs="Arial"/>
                <w:color w:val="FF0000"/>
              </w:rPr>
              <w:t>)</w:t>
            </w:r>
          </w:p>
        </w:tc>
      </w:tr>
      <w:tr w:rsidR="00186523" w:rsidRPr="004A2838" w14:paraId="1425C8C3" w14:textId="77777777" w:rsidTr="009706BE">
        <w:trPr>
          <w:trHeight w:val="255"/>
        </w:trPr>
        <w:tc>
          <w:tcPr>
            <w:tcW w:w="4278" w:type="dxa"/>
            <w:tcBorders>
              <w:top w:val="nil"/>
              <w:left w:val="single" w:sz="8" w:space="0" w:color="auto"/>
              <w:bottom w:val="single" w:sz="8" w:space="0" w:color="auto"/>
              <w:right w:val="single" w:sz="8" w:space="0" w:color="auto"/>
            </w:tcBorders>
            <w:shd w:val="clear" w:color="000000" w:fill="FFFFFF"/>
            <w:vAlign w:val="center"/>
            <w:hideMark/>
          </w:tcPr>
          <w:p w14:paraId="06D2E37C" w14:textId="77777777" w:rsidR="00DA79E4" w:rsidRPr="004A2838" w:rsidRDefault="00DA79E4" w:rsidP="00B02F8B">
            <w:pPr>
              <w:spacing w:after="0" w:line="240" w:lineRule="auto"/>
              <w:rPr>
                <w:rFonts w:ascii="Arial" w:eastAsia="Times New Roman" w:hAnsi="Arial" w:cs="Arial"/>
                <w:color w:val="000000"/>
                <w:lang w:eastAsia="en-GB"/>
              </w:rPr>
            </w:pPr>
            <w:r w:rsidRPr="004A2838">
              <w:rPr>
                <w:rFonts w:ascii="Arial" w:eastAsia="Times New Roman" w:hAnsi="Arial" w:cs="Arial"/>
                <w:color w:val="000000"/>
                <w:lang w:eastAsia="en-GB"/>
              </w:rPr>
              <w:t>DFG Admin Charge to 12.5%</w:t>
            </w:r>
          </w:p>
        </w:tc>
        <w:tc>
          <w:tcPr>
            <w:tcW w:w="1392" w:type="dxa"/>
            <w:tcBorders>
              <w:top w:val="nil"/>
              <w:left w:val="nil"/>
              <w:bottom w:val="single" w:sz="8" w:space="0" w:color="auto"/>
              <w:right w:val="single" w:sz="8" w:space="0" w:color="auto"/>
            </w:tcBorders>
            <w:shd w:val="clear" w:color="000000" w:fill="FFFFFF"/>
            <w:vAlign w:val="center"/>
            <w:hideMark/>
          </w:tcPr>
          <w:p w14:paraId="636DAD9D" w14:textId="77777777"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(0.055)</w:t>
            </w:r>
          </w:p>
        </w:tc>
        <w:tc>
          <w:tcPr>
            <w:tcW w:w="1276" w:type="dxa"/>
            <w:tcBorders>
              <w:top w:val="nil"/>
              <w:left w:val="nil"/>
              <w:bottom w:val="single" w:sz="8" w:space="0" w:color="auto"/>
              <w:right w:val="single" w:sz="8" w:space="0" w:color="auto"/>
            </w:tcBorders>
            <w:shd w:val="clear" w:color="000000" w:fill="FFFFFF"/>
            <w:vAlign w:val="center"/>
            <w:hideMark/>
          </w:tcPr>
          <w:p w14:paraId="01AA4844" w14:textId="77777777"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(0.055)</w:t>
            </w:r>
          </w:p>
        </w:tc>
        <w:tc>
          <w:tcPr>
            <w:tcW w:w="1134" w:type="dxa"/>
            <w:tcBorders>
              <w:top w:val="nil"/>
              <w:left w:val="nil"/>
              <w:bottom w:val="single" w:sz="8" w:space="0" w:color="auto"/>
              <w:right w:val="single" w:sz="8" w:space="0" w:color="auto"/>
            </w:tcBorders>
            <w:shd w:val="clear" w:color="000000" w:fill="FFFFFF"/>
            <w:vAlign w:val="center"/>
            <w:hideMark/>
          </w:tcPr>
          <w:p w14:paraId="7CA2FF37" w14:textId="77777777" w:rsidR="00DA79E4" w:rsidRPr="00C058BA" w:rsidRDefault="00DA79E4" w:rsidP="00B02F8B">
            <w:pPr>
              <w:spacing w:after="0" w:line="240" w:lineRule="auto"/>
              <w:jc w:val="right"/>
              <w:rPr>
                <w:rFonts w:ascii="Arial" w:eastAsia="Times New Roman" w:hAnsi="Arial" w:cs="Arial"/>
                <w:color w:val="FF0000"/>
                <w:lang w:eastAsia="en-GB"/>
              </w:rPr>
            </w:pPr>
            <w:r w:rsidRPr="00C058BA">
              <w:rPr>
                <w:rFonts w:ascii="Arial" w:hAnsi="Arial" w:cs="Arial"/>
                <w:color w:val="FF0000"/>
              </w:rPr>
              <w:t>(0.055)</w:t>
            </w:r>
          </w:p>
        </w:tc>
      </w:tr>
      <w:tr w:rsidR="00186523" w:rsidRPr="004A2838" w14:paraId="23E72437" w14:textId="77777777" w:rsidTr="009706BE">
        <w:trPr>
          <w:trHeight w:val="315"/>
        </w:trPr>
        <w:tc>
          <w:tcPr>
            <w:tcW w:w="4278" w:type="dxa"/>
            <w:tcBorders>
              <w:top w:val="nil"/>
              <w:left w:val="nil"/>
              <w:bottom w:val="nil"/>
              <w:right w:val="nil"/>
            </w:tcBorders>
            <w:shd w:val="clear" w:color="000000" w:fill="FFFFFF"/>
            <w:vAlign w:val="center"/>
            <w:hideMark/>
          </w:tcPr>
          <w:p w14:paraId="08938F86" w14:textId="77777777" w:rsidR="00DA79E4" w:rsidRPr="004A2838" w:rsidRDefault="00DA79E4" w:rsidP="00B02F8B">
            <w:pPr>
              <w:spacing w:after="0" w:line="240" w:lineRule="auto"/>
              <w:rPr>
                <w:rFonts w:ascii="Arial" w:eastAsia="Times New Roman" w:hAnsi="Arial" w:cs="Arial"/>
                <w:b/>
                <w:bCs/>
                <w:color w:val="FFFFFF"/>
                <w:sz w:val="12"/>
                <w:szCs w:val="12"/>
                <w:lang w:eastAsia="en-GB"/>
              </w:rPr>
            </w:pPr>
            <w:r w:rsidRPr="004A2838">
              <w:rPr>
                <w:rFonts w:ascii="Arial" w:eastAsia="Times New Roman" w:hAnsi="Arial" w:cs="Arial"/>
                <w:b/>
                <w:bCs/>
                <w:color w:val="FFFFFF"/>
                <w:sz w:val="12"/>
                <w:szCs w:val="12"/>
                <w:lang w:eastAsia="en-GB"/>
              </w:rPr>
              <w:t> </w:t>
            </w:r>
          </w:p>
        </w:tc>
        <w:tc>
          <w:tcPr>
            <w:tcW w:w="1392" w:type="dxa"/>
            <w:tcBorders>
              <w:top w:val="nil"/>
              <w:left w:val="nil"/>
              <w:bottom w:val="nil"/>
              <w:right w:val="nil"/>
            </w:tcBorders>
            <w:shd w:val="clear" w:color="000000" w:fill="FFFFFF"/>
            <w:vAlign w:val="center"/>
            <w:hideMark/>
          </w:tcPr>
          <w:p w14:paraId="1FF5C160" w14:textId="77777777" w:rsidR="00DA79E4" w:rsidRPr="004A2838" w:rsidRDefault="00DA79E4" w:rsidP="00B02F8B">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276" w:type="dxa"/>
            <w:tcBorders>
              <w:top w:val="nil"/>
              <w:left w:val="nil"/>
              <w:bottom w:val="nil"/>
              <w:right w:val="nil"/>
            </w:tcBorders>
            <w:shd w:val="clear" w:color="000000" w:fill="FFFFFF"/>
            <w:vAlign w:val="center"/>
            <w:hideMark/>
          </w:tcPr>
          <w:p w14:paraId="32085478" w14:textId="77777777" w:rsidR="00DA79E4" w:rsidRPr="004A2838" w:rsidRDefault="00DA79E4" w:rsidP="00B02F8B">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c>
          <w:tcPr>
            <w:tcW w:w="1134" w:type="dxa"/>
            <w:tcBorders>
              <w:top w:val="nil"/>
              <w:left w:val="nil"/>
              <w:bottom w:val="nil"/>
              <w:right w:val="nil"/>
            </w:tcBorders>
            <w:shd w:val="clear" w:color="000000" w:fill="FFFFFF"/>
            <w:vAlign w:val="center"/>
            <w:hideMark/>
          </w:tcPr>
          <w:p w14:paraId="049D5C36" w14:textId="77777777" w:rsidR="00DA79E4" w:rsidRPr="004A2838" w:rsidRDefault="00DA79E4" w:rsidP="00B02F8B">
            <w:pPr>
              <w:spacing w:after="0" w:line="240" w:lineRule="auto"/>
              <w:jc w:val="right"/>
              <w:rPr>
                <w:rFonts w:ascii="Arial" w:eastAsia="Times New Roman" w:hAnsi="Arial" w:cs="Arial"/>
                <w:b/>
                <w:bCs/>
                <w:color w:val="000000"/>
                <w:sz w:val="12"/>
                <w:szCs w:val="12"/>
                <w:lang w:eastAsia="en-GB"/>
              </w:rPr>
            </w:pPr>
            <w:r>
              <w:rPr>
                <w:rFonts w:ascii="Arial" w:hAnsi="Arial" w:cs="Arial"/>
                <w:b/>
                <w:bCs/>
                <w:color w:val="000000"/>
                <w:sz w:val="12"/>
                <w:szCs w:val="12"/>
              </w:rPr>
              <w:t> </w:t>
            </w:r>
          </w:p>
        </w:tc>
      </w:tr>
      <w:tr w:rsidR="00E71E0A" w:rsidRPr="004A2838" w14:paraId="1ACC23B2" w14:textId="77777777" w:rsidTr="009706BE">
        <w:trPr>
          <w:trHeight w:val="315"/>
        </w:trPr>
        <w:tc>
          <w:tcPr>
            <w:tcW w:w="4278" w:type="dxa"/>
            <w:tcBorders>
              <w:top w:val="single" w:sz="8" w:space="0" w:color="auto"/>
              <w:left w:val="single" w:sz="8" w:space="0" w:color="auto"/>
              <w:bottom w:val="single" w:sz="8" w:space="0" w:color="auto"/>
              <w:right w:val="single" w:sz="8" w:space="0" w:color="auto"/>
            </w:tcBorders>
            <w:shd w:val="clear" w:color="000000" w:fill="0070C0"/>
            <w:vAlign w:val="center"/>
            <w:hideMark/>
          </w:tcPr>
          <w:p w14:paraId="756505FA" w14:textId="77777777" w:rsidR="00DA79E4" w:rsidRPr="004A2838" w:rsidRDefault="00DA79E4" w:rsidP="00B02F8B">
            <w:pPr>
              <w:spacing w:after="0" w:line="240" w:lineRule="auto"/>
              <w:rPr>
                <w:rFonts w:ascii="Arial" w:eastAsia="Times New Roman" w:hAnsi="Arial" w:cs="Arial"/>
                <w:b/>
                <w:bCs/>
                <w:color w:val="FFFFFF"/>
                <w:lang w:eastAsia="en-GB"/>
              </w:rPr>
            </w:pPr>
            <w:r w:rsidRPr="004A2838">
              <w:rPr>
                <w:rFonts w:ascii="Arial" w:eastAsia="Times New Roman" w:hAnsi="Arial" w:cs="Arial"/>
                <w:b/>
                <w:bCs/>
                <w:color w:val="FFFFFF"/>
                <w:lang w:eastAsia="en-GB"/>
              </w:rPr>
              <w:t xml:space="preserve">NET DEFICIT / (SURPLUS) </w:t>
            </w:r>
          </w:p>
        </w:tc>
        <w:tc>
          <w:tcPr>
            <w:tcW w:w="1392" w:type="dxa"/>
            <w:tcBorders>
              <w:top w:val="single" w:sz="8" w:space="0" w:color="auto"/>
              <w:left w:val="nil"/>
              <w:bottom w:val="single" w:sz="8" w:space="0" w:color="auto"/>
              <w:right w:val="single" w:sz="8" w:space="0" w:color="auto"/>
            </w:tcBorders>
            <w:shd w:val="clear" w:color="000000" w:fill="0070C0"/>
            <w:vAlign w:val="center"/>
            <w:hideMark/>
          </w:tcPr>
          <w:p w14:paraId="3FA34A45" w14:textId="00A2BE04" w:rsidR="00DA79E4" w:rsidRPr="00E71E0A" w:rsidRDefault="00DA79E4" w:rsidP="00B02F8B">
            <w:pPr>
              <w:spacing w:after="0" w:line="240" w:lineRule="auto"/>
              <w:jc w:val="right"/>
              <w:rPr>
                <w:rFonts w:ascii="Arial" w:eastAsia="Times New Roman" w:hAnsi="Arial" w:cs="Arial"/>
                <w:b/>
                <w:bCs/>
                <w:color w:val="FFFFFF"/>
                <w:highlight w:val="yellow"/>
                <w:lang w:eastAsia="en-GB"/>
              </w:rPr>
            </w:pPr>
            <w:r w:rsidRPr="00186523">
              <w:rPr>
                <w:rFonts w:ascii="Arial" w:hAnsi="Arial" w:cs="Arial"/>
                <w:b/>
                <w:bCs/>
                <w:color w:val="FFFFFF"/>
              </w:rPr>
              <w:t>0.</w:t>
            </w:r>
            <w:r w:rsidR="00607B3A" w:rsidRPr="00186523">
              <w:rPr>
                <w:rFonts w:ascii="Arial" w:hAnsi="Arial" w:cs="Arial"/>
                <w:b/>
                <w:bCs/>
                <w:color w:val="FFFFFF"/>
              </w:rPr>
              <w:t>000</w:t>
            </w:r>
          </w:p>
        </w:tc>
        <w:tc>
          <w:tcPr>
            <w:tcW w:w="1276" w:type="dxa"/>
            <w:tcBorders>
              <w:top w:val="single" w:sz="8" w:space="0" w:color="auto"/>
              <w:left w:val="nil"/>
              <w:bottom w:val="single" w:sz="8" w:space="0" w:color="auto"/>
              <w:right w:val="single" w:sz="8" w:space="0" w:color="auto"/>
            </w:tcBorders>
            <w:shd w:val="clear" w:color="000000" w:fill="0070C0"/>
            <w:vAlign w:val="center"/>
            <w:hideMark/>
          </w:tcPr>
          <w:p w14:paraId="76651C0B" w14:textId="067D4802" w:rsidR="00DA79E4" w:rsidRPr="00C058BA" w:rsidRDefault="0084028F" w:rsidP="00B02F8B">
            <w:pPr>
              <w:spacing w:after="0" w:line="240" w:lineRule="auto"/>
              <w:jc w:val="right"/>
              <w:rPr>
                <w:rFonts w:ascii="Arial" w:eastAsia="Times New Roman" w:hAnsi="Arial" w:cs="Arial"/>
                <w:b/>
                <w:bCs/>
                <w:color w:val="FFFFFF"/>
                <w:lang w:eastAsia="en-GB"/>
              </w:rPr>
            </w:pPr>
            <w:r>
              <w:rPr>
                <w:rFonts w:ascii="Arial" w:hAnsi="Arial" w:cs="Arial"/>
                <w:b/>
                <w:bCs/>
                <w:color w:val="FFFFFF"/>
              </w:rPr>
              <w:t>0</w:t>
            </w:r>
            <w:r w:rsidR="00607B3A" w:rsidRPr="00C058BA">
              <w:rPr>
                <w:rFonts w:ascii="Arial" w:hAnsi="Arial" w:cs="Arial"/>
                <w:b/>
                <w:bCs/>
                <w:color w:val="FFFFFF"/>
              </w:rPr>
              <w:t>.</w:t>
            </w:r>
            <w:r>
              <w:rPr>
                <w:rFonts w:ascii="Arial" w:hAnsi="Arial" w:cs="Arial"/>
                <w:b/>
                <w:bCs/>
                <w:color w:val="FFFFFF"/>
              </w:rPr>
              <w:t>619</w:t>
            </w:r>
          </w:p>
        </w:tc>
        <w:tc>
          <w:tcPr>
            <w:tcW w:w="1134" w:type="dxa"/>
            <w:tcBorders>
              <w:top w:val="single" w:sz="8" w:space="0" w:color="auto"/>
              <w:left w:val="nil"/>
              <w:bottom w:val="single" w:sz="8" w:space="0" w:color="auto"/>
              <w:right w:val="single" w:sz="8" w:space="0" w:color="auto"/>
            </w:tcBorders>
            <w:shd w:val="clear" w:color="000000" w:fill="0070C0"/>
            <w:vAlign w:val="center"/>
            <w:hideMark/>
          </w:tcPr>
          <w:p w14:paraId="1FF1D02D" w14:textId="263C95F8" w:rsidR="00DA79E4" w:rsidRPr="00C058BA" w:rsidRDefault="0084028F" w:rsidP="00B02F8B">
            <w:pPr>
              <w:spacing w:after="0" w:line="240" w:lineRule="auto"/>
              <w:jc w:val="right"/>
              <w:rPr>
                <w:rFonts w:ascii="Arial" w:eastAsia="Times New Roman" w:hAnsi="Arial" w:cs="Arial"/>
                <w:b/>
                <w:bCs/>
                <w:color w:val="FFFFFF"/>
                <w:lang w:eastAsia="en-GB"/>
              </w:rPr>
            </w:pPr>
            <w:r>
              <w:rPr>
                <w:rFonts w:ascii="Arial" w:hAnsi="Arial" w:cs="Arial"/>
                <w:b/>
                <w:bCs/>
                <w:color w:val="FFFFFF"/>
              </w:rPr>
              <w:t>0.732</w:t>
            </w:r>
          </w:p>
        </w:tc>
      </w:tr>
    </w:tbl>
    <w:p w14:paraId="7665B3D6" w14:textId="6DB6D562" w:rsidR="00C76112" w:rsidRDefault="00771AFC" w:rsidP="009C48D4">
      <w:pPr>
        <w:pStyle w:val="ListParagraph"/>
        <w:numPr>
          <w:ilvl w:val="0"/>
          <w:numId w:val="8"/>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ascii="Arial" w:hAnsi="Arial" w:cs="Arial"/>
        </w:rPr>
      </w:pPr>
      <w:r>
        <w:rPr>
          <w:rFonts w:asciiTheme="majorHAnsi" w:hAnsiTheme="majorHAnsi" w:cstheme="majorHAnsi"/>
          <w:color w:val="000000" w:themeColor="text1"/>
        </w:rPr>
        <w:lastRenderedPageBreak/>
        <w:t xml:space="preserve">The </w:t>
      </w:r>
      <w:r w:rsidR="009C48D4" w:rsidRPr="009C48D4">
        <w:rPr>
          <w:rFonts w:asciiTheme="majorHAnsi" w:hAnsiTheme="majorHAnsi" w:cstheme="majorHAnsi"/>
          <w:color w:val="000000" w:themeColor="text1"/>
        </w:rPr>
        <w:t xml:space="preserve">key challenge to the council to find forecast </w:t>
      </w:r>
      <w:r w:rsidR="009C48D4">
        <w:rPr>
          <w:rFonts w:ascii="Arial" w:hAnsi="Arial" w:cs="Arial"/>
        </w:rPr>
        <w:t xml:space="preserve">efficiency </w:t>
      </w:r>
      <w:r w:rsidR="009C48D4" w:rsidRPr="0084028F">
        <w:rPr>
          <w:rFonts w:ascii="Arial" w:hAnsi="Arial" w:cs="Arial"/>
        </w:rPr>
        <w:t>savings of £0.</w:t>
      </w:r>
      <w:r w:rsidR="0084028F" w:rsidRPr="0084028F">
        <w:rPr>
          <w:rFonts w:ascii="Arial" w:hAnsi="Arial" w:cs="Arial"/>
        </w:rPr>
        <w:t>732m</w:t>
      </w:r>
      <w:r w:rsidR="009C48D4" w:rsidRPr="00124847">
        <w:rPr>
          <w:rFonts w:ascii="Arial" w:hAnsi="Arial" w:cs="Arial"/>
        </w:rPr>
        <w:t xml:space="preserve"> by 2024</w:t>
      </w:r>
      <w:r w:rsidR="009C48D4">
        <w:rPr>
          <w:rFonts w:ascii="Arial" w:hAnsi="Arial" w:cs="Arial"/>
        </w:rPr>
        <w:t xml:space="preserve">/25. </w:t>
      </w:r>
    </w:p>
    <w:p w14:paraId="4F0FFBE1" w14:textId="3DF0B3AA" w:rsidR="00C76112" w:rsidRPr="00C76112" w:rsidRDefault="00C76112" w:rsidP="00C76112">
      <w:pPr>
        <w:pStyle w:val="ListParagraph"/>
        <w:pBdr>
          <w:top w:val="single" w:sz="2" w:space="1" w:color="FFFFFF"/>
          <w:left w:val="single" w:sz="2" w:space="0" w:color="FFFFFF"/>
          <w:bottom w:val="single" w:sz="2" w:space="0" w:color="FFFFFF"/>
          <w:right w:val="single" w:sz="2" w:space="4" w:color="FFFFFF"/>
        </w:pBdr>
        <w:spacing w:after="0" w:line="240" w:lineRule="auto"/>
        <w:ind w:left="567"/>
        <w:jc w:val="both"/>
        <w:rPr>
          <w:rFonts w:ascii="Arial" w:hAnsi="Arial" w:cs="Arial"/>
        </w:rPr>
      </w:pPr>
    </w:p>
    <w:p w14:paraId="05CBA886" w14:textId="432DCCA0" w:rsidR="009C48D4" w:rsidRDefault="009C48D4" w:rsidP="00C76112">
      <w:pPr>
        <w:pStyle w:val="ListParagraph"/>
        <w:pBdr>
          <w:top w:val="single" w:sz="2" w:space="1" w:color="FFFFFF"/>
          <w:left w:val="single" w:sz="2" w:space="0" w:color="FFFFFF"/>
          <w:bottom w:val="single" w:sz="2" w:space="0" w:color="FFFFFF"/>
          <w:right w:val="single" w:sz="2" w:space="4" w:color="FFFFFF"/>
        </w:pBdr>
        <w:spacing w:after="0" w:line="240" w:lineRule="auto"/>
        <w:ind w:left="567"/>
        <w:jc w:val="both"/>
        <w:rPr>
          <w:rFonts w:ascii="Arial" w:hAnsi="Arial" w:cs="Arial"/>
        </w:rPr>
      </w:pPr>
      <w:r w:rsidRPr="00AF66E3">
        <w:rPr>
          <w:rFonts w:ascii="Arial" w:hAnsi="Arial" w:cs="Arial"/>
        </w:rPr>
        <w:t xml:space="preserve">To achieve </w:t>
      </w:r>
      <w:r>
        <w:rPr>
          <w:rFonts w:ascii="Arial" w:hAnsi="Arial" w:cs="Arial"/>
        </w:rPr>
        <w:t xml:space="preserve">this the </w:t>
      </w:r>
      <w:r w:rsidRPr="00AF66E3">
        <w:rPr>
          <w:rFonts w:ascii="Arial" w:hAnsi="Arial" w:cs="Arial"/>
        </w:rPr>
        <w:t>council’s strategy will b</w:t>
      </w:r>
      <w:r>
        <w:rPr>
          <w:rFonts w:ascii="Arial" w:hAnsi="Arial" w:cs="Arial"/>
        </w:rPr>
        <w:t>e:</w:t>
      </w:r>
    </w:p>
    <w:p w14:paraId="08FCDB6C" w14:textId="77777777" w:rsidR="009C48D4" w:rsidRPr="009C48D4" w:rsidRDefault="009C48D4" w:rsidP="009C48D4">
      <w:pPr>
        <w:pStyle w:val="ListParagraph"/>
        <w:pBdr>
          <w:top w:val="single" w:sz="2" w:space="1" w:color="FFFFFF"/>
          <w:left w:val="single" w:sz="2" w:space="0" w:color="FFFFFF"/>
          <w:bottom w:val="single" w:sz="2" w:space="0" w:color="FFFFFF"/>
          <w:right w:val="single" w:sz="2" w:space="4" w:color="FFFFFF"/>
        </w:pBdr>
        <w:tabs>
          <w:tab w:val="left" w:pos="567"/>
        </w:tabs>
        <w:spacing w:after="0" w:line="240" w:lineRule="auto"/>
        <w:ind w:left="567"/>
        <w:jc w:val="both"/>
        <w:rPr>
          <w:rFonts w:ascii="Arial" w:hAnsi="Arial" w:cs="Arial"/>
        </w:rPr>
      </w:pPr>
    </w:p>
    <w:p w14:paraId="508191D3" w14:textId="490E289F" w:rsidR="009C48D4" w:rsidRPr="009C48D4" w:rsidRDefault="009C48D4" w:rsidP="009C48D4">
      <w:pPr>
        <w:pStyle w:val="ListParagraph"/>
        <w:numPr>
          <w:ilvl w:val="0"/>
          <w:numId w:val="39"/>
        </w:numPr>
        <w:spacing w:after="0" w:line="240" w:lineRule="auto"/>
        <w:ind w:left="927" w:right="424"/>
        <w:jc w:val="both"/>
        <w:rPr>
          <w:rFonts w:ascii="Arial" w:hAnsi="Arial" w:cs="Arial"/>
          <w:bCs/>
        </w:rPr>
      </w:pPr>
      <w:r w:rsidRPr="009C48D4">
        <w:rPr>
          <w:rFonts w:ascii="Arial" w:hAnsi="Arial" w:cs="Arial"/>
          <w:bCs/>
        </w:rPr>
        <w:t xml:space="preserve">To make the council more financially self-sufficient with specific emphasis on creating investment that provides benefits to residents and businesses whilst also generating income. </w:t>
      </w:r>
    </w:p>
    <w:p w14:paraId="15C42AAA" w14:textId="18AA2F04" w:rsidR="009C48D4" w:rsidRPr="0095767E" w:rsidRDefault="009C48D4" w:rsidP="009C48D4">
      <w:pPr>
        <w:numPr>
          <w:ilvl w:val="0"/>
          <w:numId w:val="39"/>
        </w:numPr>
        <w:spacing w:after="0" w:line="240" w:lineRule="auto"/>
        <w:ind w:left="927" w:right="424"/>
        <w:jc w:val="both"/>
        <w:rPr>
          <w:rFonts w:ascii="Arial" w:hAnsi="Arial" w:cs="Arial"/>
          <w:bCs/>
        </w:rPr>
      </w:pPr>
      <w:r w:rsidRPr="0095767E">
        <w:rPr>
          <w:rFonts w:ascii="Arial" w:hAnsi="Arial" w:cs="Arial"/>
          <w:bCs/>
        </w:rPr>
        <w:t xml:space="preserve">To realise savings through the procurement of its contracts including joint contractual arrangements with </w:t>
      </w:r>
      <w:r>
        <w:rPr>
          <w:rFonts w:ascii="Arial" w:hAnsi="Arial" w:cs="Arial"/>
          <w:bCs/>
        </w:rPr>
        <w:t>Chorley</w:t>
      </w:r>
      <w:r w:rsidRPr="0095767E">
        <w:rPr>
          <w:rFonts w:ascii="Arial" w:hAnsi="Arial" w:cs="Arial"/>
          <w:bCs/>
        </w:rPr>
        <w:t xml:space="preserve"> Council.</w:t>
      </w:r>
    </w:p>
    <w:p w14:paraId="64808D42" w14:textId="0BBC0ECD" w:rsidR="009C48D4" w:rsidRDefault="009C48D4" w:rsidP="009C48D4">
      <w:pPr>
        <w:numPr>
          <w:ilvl w:val="0"/>
          <w:numId w:val="39"/>
        </w:numPr>
        <w:spacing w:after="0" w:line="240" w:lineRule="auto"/>
        <w:ind w:left="927" w:right="424"/>
        <w:jc w:val="both"/>
        <w:rPr>
          <w:rFonts w:ascii="Arial" w:hAnsi="Arial" w:cs="Arial"/>
          <w:bCs/>
        </w:rPr>
      </w:pPr>
      <w:r w:rsidRPr="0095767E">
        <w:rPr>
          <w:rFonts w:ascii="Arial" w:hAnsi="Arial" w:cs="Arial"/>
          <w:bCs/>
        </w:rPr>
        <w:t xml:space="preserve">To identify efficiencies through investment in infrastructure, ICT and through exploring alternative delivery models that will enable the </w:t>
      </w:r>
      <w:r w:rsidR="00C76112">
        <w:rPr>
          <w:rFonts w:ascii="Arial" w:hAnsi="Arial" w:cs="Arial"/>
          <w:bCs/>
        </w:rPr>
        <w:t>c</w:t>
      </w:r>
      <w:r w:rsidRPr="0095767E">
        <w:rPr>
          <w:rFonts w:ascii="Arial" w:hAnsi="Arial" w:cs="Arial"/>
          <w:bCs/>
        </w:rPr>
        <w:t>ouncil to balance the budget whilst seeking to minimise the impact on front line service users</w:t>
      </w:r>
    </w:p>
    <w:p w14:paraId="0C547BF8" w14:textId="3E0B2BFA" w:rsidR="005C3136" w:rsidRDefault="005C3136" w:rsidP="005C3136">
      <w:pPr>
        <w:pBdr>
          <w:top w:val="single" w:sz="2" w:space="1" w:color="FFFFFF"/>
          <w:left w:val="single" w:sz="2" w:space="0" w:color="FFFFFF"/>
          <w:bottom w:val="single" w:sz="2" w:space="2" w:color="FFFFFF"/>
          <w:right w:val="single" w:sz="2" w:space="4" w:color="FFFFFF"/>
        </w:pBdr>
        <w:tabs>
          <w:tab w:val="left" w:pos="567"/>
        </w:tabs>
        <w:spacing w:after="0" w:line="240" w:lineRule="auto"/>
        <w:jc w:val="both"/>
        <w:rPr>
          <w:rFonts w:asciiTheme="majorHAnsi" w:hAnsiTheme="majorHAnsi" w:cstheme="majorHAnsi"/>
          <w:color w:val="000000" w:themeColor="text1"/>
        </w:rPr>
      </w:pPr>
    </w:p>
    <w:p w14:paraId="00F8DF3D" w14:textId="77777777" w:rsidR="00170E9B" w:rsidRPr="00170E9B" w:rsidRDefault="00170E9B" w:rsidP="00170E9B">
      <w:pPr>
        <w:pBdr>
          <w:top w:val="single" w:sz="2" w:space="1" w:color="FFFFFF"/>
          <w:left w:val="single" w:sz="2" w:space="0" w:color="FFFFFF"/>
          <w:bottom w:val="single" w:sz="2" w:space="2" w:color="FFFFFF"/>
          <w:right w:val="single" w:sz="2" w:space="4" w:color="FFFFFF"/>
        </w:pBdr>
        <w:tabs>
          <w:tab w:val="left" w:pos="567"/>
        </w:tabs>
        <w:ind w:right="141"/>
        <w:rPr>
          <w:rFonts w:ascii="Arial" w:hAnsi="Arial" w:cs="Arial"/>
          <w:b/>
          <w:iCs/>
          <w:color w:val="548DD4" w:themeColor="text2" w:themeTint="99"/>
        </w:rPr>
      </w:pPr>
      <w:r w:rsidRPr="00170E9B">
        <w:rPr>
          <w:rFonts w:ascii="Arial" w:hAnsi="Arial" w:cs="Arial"/>
          <w:b/>
          <w:iCs/>
          <w:color w:val="548DD4" w:themeColor="text2" w:themeTint="99"/>
        </w:rPr>
        <w:t>Transformation Strategy</w:t>
      </w:r>
    </w:p>
    <w:p w14:paraId="2A209D88" w14:textId="7E111AC0" w:rsidR="00170E9B" w:rsidRDefault="00547E6D" w:rsidP="00FC6842">
      <w:pPr>
        <w:pStyle w:val="ListParagraph"/>
        <w:numPr>
          <w:ilvl w:val="0"/>
          <w:numId w:val="8"/>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ascii="Arial" w:hAnsi="Arial" w:cs="Arial"/>
        </w:rPr>
      </w:pPr>
      <w:r>
        <w:rPr>
          <w:rFonts w:ascii="Arial" w:hAnsi="Arial" w:cs="Arial"/>
        </w:rPr>
        <w:t xml:space="preserve">The </w:t>
      </w:r>
      <w:r w:rsidR="00AA7A0B" w:rsidRPr="0032489B">
        <w:rPr>
          <w:rFonts w:ascii="Arial" w:hAnsi="Arial" w:cs="Arial"/>
          <w:bCs/>
          <w:iCs/>
        </w:rPr>
        <w:t xml:space="preserve">transformation strategy covers many aspects of change both within the council and in partnership with other organisations. At this stage, the main strands of the strategy that could generate savings and income are outlined further </w:t>
      </w:r>
      <w:r w:rsidRPr="0032489B">
        <w:rPr>
          <w:rFonts w:ascii="Arial" w:hAnsi="Arial" w:cs="Arial"/>
          <w:bCs/>
          <w:iCs/>
        </w:rPr>
        <w:t>below.</w:t>
      </w:r>
    </w:p>
    <w:p w14:paraId="7C6FAD59" w14:textId="77777777" w:rsidR="00547E6D" w:rsidRDefault="00547E6D" w:rsidP="00547E6D">
      <w:pPr>
        <w:pBdr>
          <w:top w:val="single" w:sz="2" w:space="1" w:color="FFFFFF"/>
          <w:left w:val="single" w:sz="2" w:space="0" w:color="FFFFFF"/>
          <w:bottom w:val="single" w:sz="2" w:space="0" w:color="FFFFFF"/>
          <w:right w:val="single" w:sz="2" w:space="4" w:color="FFFFFF"/>
        </w:pBdr>
        <w:spacing w:after="0" w:line="240" w:lineRule="auto"/>
        <w:jc w:val="both"/>
        <w:rPr>
          <w:rFonts w:ascii="Arial" w:hAnsi="Arial" w:cs="Arial"/>
        </w:rPr>
      </w:pPr>
    </w:p>
    <w:p w14:paraId="5C047C53" w14:textId="77777777" w:rsidR="00547E6D" w:rsidRPr="00771AFC" w:rsidRDefault="00547E6D" w:rsidP="00547E6D">
      <w:pPr>
        <w:pBdr>
          <w:top w:val="single" w:sz="2" w:space="1" w:color="FFFFFF"/>
          <w:left w:val="single" w:sz="2" w:space="0" w:color="FFFFFF"/>
          <w:bottom w:val="single" w:sz="2" w:space="2" w:color="FFFFFF"/>
          <w:right w:val="single" w:sz="2" w:space="4" w:color="FFFFFF"/>
        </w:pBdr>
        <w:tabs>
          <w:tab w:val="left" w:pos="0"/>
          <w:tab w:val="left" w:pos="567"/>
        </w:tabs>
        <w:ind w:right="141"/>
        <w:jc w:val="both"/>
        <w:rPr>
          <w:rFonts w:ascii="Arial" w:hAnsi="Arial" w:cs="Arial"/>
          <w:b/>
          <w:i/>
          <w:color w:val="548DD4" w:themeColor="text2" w:themeTint="99"/>
        </w:rPr>
      </w:pPr>
      <w:r w:rsidRPr="00771AFC">
        <w:rPr>
          <w:rFonts w:ascii="Arial" w:hAnsi="Arial" w:cs="Arial"/>
          <w:b/>
          <w:i/>
          <w:color w:val="548DD4" w:themeColor="text2" w:themeTint="99"/>
        </w:rPr>
        <w:t>Income Generation</w:t>
      </w:r>
    </w:p>
    <w:p w14:paraId="45656B53" w14:textId="276E18B0" w:rsidR="003247DD" w:rsidRPr="00AA7A0B" w:rsidRDefault="00547E6D" w:rsidP="00330CDC">
      <w:pPr>
        <w:pStyle w:val="ListParagraph"/>
        <w:numPr>
          <w:ilvl w:val="0"/>
          <w:numId w:val="8"/>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pPr>
      <w:r w:rsidRPr="00AA7A0B">
        <w:rPr>
          <w:rFonts w:ascii="Arial" w:hAnsi="Arial" w:cs="Arial"/>
        </w:rPr>
        <w:t xml:space="preserve">The </w:t>
      </w:r>
      <w:r w:rsidRPr="00AA7A0B">
        <w:rPr>
          <w:rFonts w:ascii="Arial" w:hAnsi="Arial" w:cs="Arial"/>
          <w:bCs/>
        </w:rPr>
        <w:t xml:space="preserve">Local Government Finance Settlement outlines the Core Spending Power available to local authorities. This is the level of resources the </w:t>
      </w:r>
      <w:r w:rsidR="00AA7A0B" w:rsidRPr="00AA7A0B">
        <w:rPr>
          <w:rFonts w:ascii="Arial" w:hAnsi="Arial" w:cs="Arial"/>
          <w:bCs/>
        </w:rPr>
        <w:t>g</w:t>
      </w:r>
      <w:r w:rsidRPr="00AA7A0B">
        <w:rPr>
          <w:rFonts w:ascii="Arial" w:hAnsi="Arial" w:cs="Arial"/>
          <w:bCs/>
        </w:rPr>
        <w:t xml:space="preserve">overnment assumes councils will have available and is predicated on all councils across the country increasing council tax up to the referendum limit of 2% (5% for authorities with social care responsibilities) year-on-year. </w:t>
      </w:r>
    </w:p>
    <w:p w14:paraId="45B5E749" w14:textId="77777777" w:rsidR="00AA7A0B" w:rsidRPr="003247DD" w:rsidRDefault="00AA7A0B" w:rsidP="00AA7A0B">
      <w:pPr>
        <w:pStyle w:val="ListParagraph"/>
        <w:pBdr>
          <w:top w:val="single" w:sz="2" w:space="1" w:color="FFFFFF"/>
          <w:left w:val="single" w:sz="2" w:space="0" w:color="FFFFFF"/>
          <w:bottom w:val="single" w:sz="2" w:space="0" w:color="FFFFFF"/>
          <w:right w:val="single" w:sz="2" w:space="4" w:color="FFFFFF"/>
        </w:pBdr>
        <w:tabs>
          <w:tab w:val="left" w:pos="567"/>
        </w:tabs>
        <w:spacing w:after="0" w:line="240" w:lineRule="auto"/>
        <w:ind w:left="567" w:right="141"/>
        <w:jc w:val="both"/>
      </w:pPr>
    </w:p>
    <w:p w14:paraId="316D0A23" w14:textId="093DF115" w:rsidR="00547E6D" w:rsidRPr="00E964F7" w:rsidRDefault="003247DD" w:rsidP="00045B97">
      <w:pPr>
        <w:numPr>
          <w:ilvl w:val="0"/>
          <w:numId w:val="10"/>
        </w:numPr>
        <w:pBdr>
          <w:top w:val="single" w:sz="2" w:space="1" w:color="FFFFFF"/>
          <w:left w:val="single" w:sz="2" w:space="0" w:color="FFFFFF"/>
          <w:bottom w:val="single" w:sz="2" w:space="0" w:color="FFFFFF"/>
          <w:right w:val="single" w:sz="2" w:space="4" w:color="FFFFFF"/>
        </w:pBdr>
        <w:tabs>
          <w:tab w:val="left" w:pos="567"/>
        </w:tabs>
        <w:spacing w:after="0" w:line="240" w:lineRule="auto"/>
        <w:ind w:right="141"/>
        <w:jc w:val="both"/>
        <w:rPr>
          <w:rFonts w:ascii="Arial" w:hAnsi="Arial" w:cs="Arial"/>
        </w:rPr>
      </w:pPr>
      <w:r w:rsidRPr="00E964F7">
        <w:t>Whil</w:t>
      </w:r>
      <w:r w:rsidR="00AA7A0B" w:rsidRPr="00E964F7">
        <w:t>st</w:t>
      </w:r>
      <w:r w:rsidRPr="00E964F7">
        <w:t xml:space="preserve"> the proposed freeze </w:t>
      </w:r>
      <w:r w:rsidR="00E964F7">
        <w:t>o</w:t>
      </w:r>
      <w:r w:rsidRPr="00E964F7">
        <w:t xml:space="preserve">n Council Tax for 2022/23 </w:t>
      </w:r>
      <w:r w:rsidR="00F1779C" w:rsidRPr="00E964F7">
        <w:t>and 2023/24 has</w:t>
      </w:r>
      <w:r w:rsidRPr="00E964F7">
        <w:t xml:space="preserve"> implications for future year budgets, </w:t>
      </w:r>
      <w:r w:rsidR="00F1779C" w:rsidRPr="00E964F7">
        <w:t>based on current information, this is offset by the increase in Business Rates income from growth in 2021/22 and in S31 grant</w:t>
      </w:r>
      <w:r w:rsidR="00E964F7">
        <w:t xml:space="preserve"> announced in the Final Settlement announced on 7 February</w:t>
      </w:r>
      <w:r w:rsidR="00F1779C" w:rsidRPr="00E964F7">
        <w:t xml:space="preserve">. As such the proposed freeze is contained </w:t>
      </w:r>
      <w:r w:rsidRPr="00E964F7">
        <w:t>with</w:t>
      </w:r>
      <w:r w:rsidR="00AA7A0B" w:rsidRPr="00E964F7">
        <w:t>in</w:t>
      </w:r>
      <w:r w:rsidRPr="00E964F7">
        <w:t xml:space="preserve"> the current overall budget position</w:t>
      </w:r>
      <w:r w:rsidR="00E964F7" w:rsidRPr="00E964F7">
        <w:t xml:space="preserve"> and</w:t>
      </w:r>
      <w:r w:rsidR="00AA7A0B" w:rsidRPr="00E964F7">
        <w:t xml:space="preserve"> is deliverable whilst still </w:t>
      </w:r>
      <w:r w:rsidRPr="00E964F7">
        <w:t>achiev</w:t>
      </w:r>
      <w:r w:rsidR="00AA7A0B" w:rsidRPr="00E964F7">
        <w:t>ing a balanced budget</w:t>
      </w:r>
      <w:r w:rsidR="00E964F7" w:rsidRPr="00E964F7">
        <w:t xml:space="preserve"> in 2022/23</w:t>
      </w:r>
      <w:r w:rsidR="00AA7A0B" w:rsidRPr="00E964F7">
        <w:t>.</w:t>
      </w:r>
      <w:r w:rsidRPr="00E964F7">
        <w:t xml:space="preserve">  </w:t>
      </w:r>
    </w:p>
    <w:p w14:paraId="1F513936" w14:textId="77777777" w:rsidR="00E964F7" w:rsidRPr="00E964F7" w:rsidRDefault="00E964F7" w:rsidP="00E964F7">
      <w:pPr>
        <w:pBdr>
          <w:top w:val="single" w:sz="2" w:space="1" w:color="FFFFFF"/>
          <w:left w:val="single" w:sz="2" w:space="0" w:color="FFFFFF"/>
          <w:bottom w:val="single" w:sz="2" w:space="0" w:color="FFFFFF"/>
          <w:right w:val="single" w:sz="2" w:space="4" w:color="FFFFFF"/>
        </w:pBdr>
        <w:tabs>
          <w:tab w:val="left" w:pos="567"/>
        </w:tabs>
        <w:spacing w:after="0" w:line="240" w:lineRule="auto"/>
        <w:ind w:left="567" w:right="141"/>
        <w:jc w:val="both"/>
        <w:rPr>
          <w:rFonts w:ascii="Arial" w:hAnsi="Arial" w:cs="Arial"/>
        </w:rPr>
      </w:pPr>
    </w:p>
    <w:p w14:paraId="29A38C5B" w14:textId="3B499DEE" w:rsidR="00547E6D" w:rsidRPr="00547E6D" w:rsidRDefault="00547E6D" w:rsidP="00FC6842">
      <w:pPr>
        <w:pStyle w:val="ListParagraph"/>
        <w:numPr>
          <w:ilvl w:val="0"/>
          <w:numId w:val="8"/>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ascii="Arial" w:hAnsi="Arial" w:cs="Arial"/>
        </w:rPr>
      </w:pPr>
      <w:r>
        <w:rPr>
          <w:rFonts w:ascii="Arial" w:hAnsi="Arial" w:cs="Arial"/>
          <w:bCs/>
        </w:rPr>
        <w:t xml:space="preserve">The </w:t>
      </w:r>
      <w:r>
        <w:rPr>
          <w:rFonts w:eastAsia="Times New Roman"/>
        </w:rPr>
        <w:t xml:space="preserve">Council Tax rate for South Ribble Council sits broadly within the </w:t>
      </w:r>
      <w:r w:rsidRPr="00524BEE">
        <w:t xml:space="preserve">middle of </w:t>
      </w:r>
      <w:r>
        <w:t xml:space="preserve">the range of </w:t>
      </w:r>
      <w:r w:rsidRPr="00524BEE">
        <w:t xml:space="preserve">other Lancashire </w:t>
      </w:r>
      <w:r>
        <w:t xml:space="preserve">District </w:t>
      </w:r>
      <w:r w:rsidRPr="00524BEE">
        <w:t>authorities.  There is a wide range of charges across Lancashire and the gap between South Ribble and the next authority (Lancaster) is over</w:t>
      </w:r>
      <w:r>
        <w:t xml:space="preserve"> 6%.</w:t>
      </w:r>
    </w:p>
    <w:p w14:paraId="395025C6" w14:textId="28566A9A" w:rsidR="00547E6D" w:rsidRDefault="00547E6D" w:rsidP="00547E6D">
      <w:pPr>
        <w:pStyle w:val="ListParagraph"/>
        <w:rPr>
          <w:rFonts w:ascii="Arial" w:hAnsi="Arial" w:cs="Arial"/>
        </w:rPr>
      </w:pPr>
    </w:p>
    <w:p w14:paraId="164463B9" w14:textId="58B27883" w:rsidR="00E964F7" w:rsidRDefault="00E964F7" w:rsidP="00547E6D">
      <w:pPr>
        <w:pStyle w:val="ListParagraph"/>
        <w:rPr>
          <w:rFonts w:ascii="Arial" w:hAnsi="Arial" w:cs="Arial"/>
        </w:rPr>
      </w:pPr>
    </w:p>
    <w:p w14:paraId="51C61E4B" w14:textId="388501E2" w:rsidR="00E964F7" w:rsidRDefault="00E964F7" w:rsidP="00547E6D">
      <w:pPr>
        <w:pStyle w:val="ListParagraph"/>
        <w:rPr>
          <w:rFonts w:ascii="Arial" w:hAnsi="Arial" w:cs="Arial"/>
        </w:rPr>
      </w:pPr>
    </w:p>
    <w:p w14:paraId="61A5FE63" w14:textId="381CFA27" w:rsidR="00E964F7" w:rsidRDefault="00E964F7" w:rsidP="00547E6D">
      <w:pPr>
        <w:pStyle w:val="ListParagraph"/>
        <w:rPr>
          <w:rFonts w:ascii="Arial" w:hAnsi="Arial" w:cs="Arial"/>
        </w:rPr>
      </w:pPr>
    </w:p>
    <w:p w14:paraId="4AB56A02" w14:textId="2CB09F47" w:rsidR="00E964F7" w:rsidRDefault="00E964F7" w:rsidP="00547E6D">
      <w:pPr>
        <w:pStyle w:val="ListParagraph"/>
        <w:rPr>
          <w:rFonts w:ascii="Arial" w:hAnsi="Arial" w:cs="Arial"/>
        </w:rPr>
      </w:pPr>
    </w:p>
    <w:p w14:paraId="0EDB2463" w14:textId="080FA948" w:rsidR="00E964F7" w:rsidRDefault="00E964F7" w:rsidP="00547E6D">
      <w:pPr>
        <w:pStyle w:val="ListParagraph"/>
        <w:rPr>
          <w:rFonts w:ascii="Arial" w:hAnsi="Arial" w:cs="Arial"/>
        </w:rPr>
      </w:pPr>
    </w:p>
    <w:p w14:paraId="5BDDF54A" w14:textId="6D17F252" w:rsidR="00E964F7" w:rsidRDefault="00E964F7" w:rsidP="00547E6D">
      <w:pPr>
        <w:pStyle w:val="ListParagraph"/>
        <w:rPr>
          <w:rFonts w:ascii="Arial" w:hAnsi="Arial" w:cs="Arial"/>
        </w:rPr>
      </w:pPr>
    </w:p>
    <w:p w14:paraId="4AB816D8" w14:textId="13513B68" w:rsidR="00E964F7" w:rsidRDefault="00E964F7" w:rsidP="00547E6D">
      <w:pPr>
        <w:pStyle w:val="ListParagraph"/>
        <w:rPr>
          <w:rFonts w:ascii="Arial" w:hAnsi="Arial" w:cs="Arial"/>
        </w:rPr>
      </w:pPr>
    </w:p>
    <w:p w14:paraId="2E60BD94" w14:textId="77777777" w:rsidR="00E964F7" w:rsidRPr="00547E6D" w:rsidRDefault="00E964F7" w:rsidP="00547E6D">
      <w:pPr>
        <w:pStyle w:val="ListParagraph"/>
        <w:rPr>
          <w:rFonts w:ascii="Arial" w:hAnsi="Arial" w:cs="Arial"/>
        </w:rPr>
      </w:pPr>
    </w:p>
    <w:tbl>
      <w:tblPr>
        <w:tblW w:w="3543" w:type="dxa"/>
        <w:tblInd w:w="1101" w:type="dxa"/>
        <w:tblLook w:val="04A0" w:firstRow="1" w:lastRow="0" w:firstColumn="1" w:lastColumn="0" w:noHBand="0" w:noVBand="1"/>
      </w:tblPr>
      <w:tblGrid>
        <w:gridCol w:w="2126"/>
        <w:gridCol w:w="1417"/>
      </w:tblGrid>
      <w:tr w:rsidR="00547E6D" w:rsidRPr="00524BEE" w14:paraId="5660E5F2" w14:textId="77777777" w:rsidTr="00B02F8B">
        <w:trPr>
          <w:trHeight w:val="1200"/>
        </w:trPr>
        <w:tc>
          <w:tcPr>
            <w:tcW w:w="2126" w:type="dxa"/>
            <w:shd w:val="clear" w:color="auto" w:fill="FFFFFF"/>
            <w:vAlign w:val="center"/>
            <w:hideMark/>
          </w:tcPr>
          <w:p w14:paraId="3C0D35E1" w14:textId="77777777" w:rsidR="00547E6D" w:rsidRPr="00524BEE" w:rsidRDefault="00547E6D" w:rsidP="00B02F8B">
            <w:pPr>
              <w:spacing w:after="0"/>
              <w:jc w:val="center"/>
              <w:rPr>
                <w:rFonts w:cs="Arial"/>
                <w:color w:val="000000"/>
                <w:szCs w:val="18"/>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8D499" w14:textId="77777777" w:rsidR="00547E6D" w:rsidRPr="00524BEE" w:rsidRDefault="00547E6D" w:rsidP="00B02F8B">
            <w:pPr>
              <w:spacing w:after="0"/>
              <w:jc w:val="center"/>
              <w:rPr>
                <w:rFonts w:cs="Arial"/>
                <w:b/>
                <w:bCs/>
                <w:color w:val="000000"/>
                <w:szCs w:val="18"/>
                <w:lang w:eastAsia="en-GB"/>
              </w:rPr>
            </w:pPr>
            <w:r w:rsidRPr="00524BEE">
              <w:rPr>
                <w:rFonts w:cs="Arial"/>
                <w:b/>
                <w:bCs/>
                <w:color w:val="000000"/>
                <w:szCs w:val="18"/>
                <w:lang w:eastAsia="en-GB"/>
              </w:rPr>
              <w:t>Band D Equivalent</w:t>
            </w:r>
            <w:r w:rsidRPr="00524BEE">
              <w:rPr>
                <w:rFonts w:cs="Arial"/>
                <w:b/>
                <w:bCs/>
                <w:color w:val="000000"/>
                <w:szCs w:val="18"/>
                <w:lang w:eastAsia="en-GB"/>
              </w:rPr>
              <w:br/>
              <w:t>2021/22</w:t>
            </w:r>
            <w:r w:rsidRPr="00524BEE">
              <w:rPr>
                <w:rFonts w:cs="Arial"/>
                <w:b/>
                <w:bCs/>
                <w:color w:val="000000"/>
                <w:szCs w:val="18"/>
                <w:lang w:eastAsia="en-GB"/>
              </w:rPr>
              <w:br/>
              <w:t>£</w:t>
            </w:r>
          </w:p>
        </w:tc>
      </w:tr>
      <w:tr w:rsidR="00547E6D" w:rsidRPr="00524BEE" w14:paraId="6E887C7C" w14:textId="77777777" w:rsidTr="00B02F8B">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E625220"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Preston</w:t>
            </w:r>
          </w:p>
        </w:tc>
        <w:tc>
          <w:tcPr>
            <w:tcW w:w="1417" w:type="dxa"/>
            <w:tcBorders>
              <w:top w:val="nil"/>
              <w:left w:val="nil"/>
              <w:bottom w:val="single" w:sz="4" w:space="0" w:color="auto"/>
              <w:right w:val="single" w:sz="4" w:space="0" w:color="auto"/>
            </w:tcBorders>
            <w:shd w:val="clear" w:color="auto" w:fill="FFFFFF"/>
            <w:noWrap/>
            <w:vAlign w:val="bottom"/>
          </w:tcPr>
          <w:p w14:paraId="7CF56DF6"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327.13</w:t>
            </w:r>
          </w:p>
        </w:tc>
      </w:tr>
      <w:tr w:rsidR="00547E6D" w:rsidRPr="00524BEE" w14:paraId="0EEC1020" w14:textId="77777777" w:rsidTr="00B02F8B">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1CA6A6"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Burnley</w:t>
            </w:r>
          </w:p>
        </w:tc>
        <w:tc>
          <w:tcPr>
            <w:tcW w:w="1417" w:type="dxa"/>
            <w:tcBorders>
              <w:top w:val="nil"/>
              <w:left w:val="nil"/>
              <w:bottom w:val="single" w:sz="4" w:space="0" w:color="auto"/>
              <w:right w:val="single" w:sz="4" w:space="0" w:color="auto"/>
            </w:tcBorders>
            <w:shd w:val="clear" w:color="auto" w:fill="FFFFFF"/>
            <w:noWrap/>
            <w:vAlign w:val="bottom"/>
          </w:tcPr>
          <w:p w14:paraId="3731DCB0"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312.28</w:t>
            </w:r>
          </w:p>
        </w:tc>
      </w:tr>
      <w:tr w:rsidR="00547E6D" w:rsidRPr="00524BEE" w14:paraId="5C2BE5E3"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11335A58"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 xml:space="preserve">Rossendale </w:t>
            </w:r>
          </w:p>
        </w:tc>
        <w:tc>
          <w:tcPr>
            <w:tcW w:w="1417" w:type="dxa"/>
            <w:tcBorders>
              <w:top w:val="nil"/>
              <w:left w:val="nil"/>
              <w:bottom w:val="single" w:sz="4" w:space="0" w:color="auto"/>
              <w:right w:val="single" w:sz="4" w:space="0" w:color="auto"/>
            </w:tcBorders>
            <w:shd w:val="clear" w:color="auto" w:fill="FFFFFF"/>
            <w:noWrap/>
            <w:vAlign w:val="bottom"/>
            <w:hideMark/>
          </w:tcPr>
          <w:p w14:paraId="7A1D96B7"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285.13</w:t>
            </w:r>
          </w:p>
        </w:tc>
      </w:tr>
      <w:tr w:rsidR="00547E6D" w:rsidRPr="00524BEE" w14:paraId="2FD0E5EF"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1B1F159A"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 xml:space="preserve">Pendle </w:t>
            </w:r>
          </w:p>
        </w:tc>
        <w:tc>
          <w:tcPr>
            <w:tcW w:w="1417" w:type="dxa"/>
            <w:tcBorders>
              <w:top w:val="nil"/>
              <w:left w:val="nil"/>
              <w:bottom w:val="single" w:sz="4" w:space="0" w:color="auto"/>
              <w:right w:val="single" w:sz="4" w:space="0" w:color="auto"/>
            </w:tcBorders>
            <w:shd w:val="clear" w:color="auto" w:fill="FFFFFF"/>
            <w:noWrap/>
            <w:vAlign w:val="bottom"/>
            <w:hideMark/>
          </w:tcPr>
          <w:p w14:paraId="128C6A26"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276.01</w:t>
            </w:r>
          </w:p>
        </w:tc>
      </w:tr>
      <w:tr w:rsidR="00547E6D" w:rsidRPr="00524BEE" w14:paraId="3EEC5C6F"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7C11C927"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Hyndburn</w:t>
            </w:r>
          </w:p>
        </w:tc>
        <w:tc>
          <w:tcPr>
            <w:tcW w:w="1417" w:type="dxa"/>
            <w:tcBorders>
              <w:top w:val="nil"/>
              <w:left w:val="nil"/>
              <w:bottom w:val="single" w:sz="4" w:space="0" w:color="auto"/>
              <w:right w:val="single" w:sz="4" w:space="0" w:color="auto"/>
            </w:tcBorders>
            <w:shd w:val="clear" w:color="auto" w:fill="FFFFFF"/>
            <w:noWrap/>
            <w:vAlign w:val="bottom"/>
            <w:hideMark/>
          </w:tcPr>
          <w:p w14:paraId="515EDA5F"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255.53</w:t>
            </w:r>
          </w:p>
        </w:tc>
      </w:tr>
      <w:tr w:rsidR="00547E6D" w:rsidRPr="00524BEE" w14:paraId="7762EBB2"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0CA2D3B6"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Lancaster</w:t>
            </w:r>
          </w:p>
        </w:tc>
        <w:tc>
          <w:tcPr>
            <w:tcW w:w="1417" w:type="dxa"/>
            <w:tcBorders>
              <w:top w:val="nil"/>
              <w:left w:val="nil"/>
              <w:bottom w:val="single" w:sz="4" w:space="0" w:color="auto"/>
              <w:right w:val="single" w:sz="4" w:space="0" w:color="auto"/>
            </w:tcBorders>
            <w:shd w:val="clear" w:color="auto" w:fill="FFFFFF"/>
            <w:noWrap/>
            <w:vAlign w:val="bottom"/>
          </w:tcPr>
          <w:p w14:paraId="5DA0A83C"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236.95</w:t>
            </w:r>
          </w:p>
        </w:tc>
      </w:tr>
      <w:tr w:rsidR="00547E6D" w:rsidRPr="00524BEE" w14:paraId="742D424C"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28F90D11" w14:textId="77777777" w:rsidR="00547E6D" w:rsidRPr="00524BEE" w:rsidRDefault="00547E6D" w:rsidP="00B02F8B">
            <w:pPr>
              <w:spacing w:after="0"/>
              <w:rPr>
                <w:rFonts w:cs="Arial"/>
                <w:b/>
                <w:bCs/>
                <w:color w:val="000000"/>
                <w:szCs w:val="18"/>
                <w:lang w:eastAsia="en-GB"/>
              </w:rPr>
            </w:pPr>
            <w:r w:rsidRPr="00524BEE">
              <w:rPr>
                <w:rFonts w:cs="Arial"/>
                <w:b/>
                <w:bCs/>
                <w:color w:val="000000"/>
                <w:szCs w:val="18"/>
                <w:lang w:eastAsia="en-GB"/>
              </w:rPr>
              <w:t>South Ribble</w:t>
            </w:r>
          </w:p>
        </w:tc>
        <w:tc>
          <w:tcPr>
            <w:tcW w:w="1417" w:type="dxa"/>
            <w:tcBorders>
              <w:top w:val="nil"/>
              <w:left w:val="nil"/>
              <w:bottom w:val="single" w:sz="4" w:space="0" w:color="auto"/>
              <w:right w:val="single" w:sz="4" w:space="0" w:color="auto"/>
            </w:tcBorders>
            <w:shd w:val="clear" w:color="auto" w:fill="FFFFFF"/>
            <w:noWrap/>
            <w:vAlign w:val="bottom"/>
          </w:tcPr>
          <w:p w14:paraId="75771353" w14:textId="77777777" w:rsidR="00547E6D" w:rsidRPr="00524BEE" w:rsidRDefault="00547E6D" w:rsidP="00B02F8B">
            <w:pPr>
              <w:spacing w:after="0"/>
              <w:jc w:val="right"/>
              <w:rPr>
                <w:rFonts w:cs="Arial"/>
                <w:b/>
                <w:bCs/>
                <w:color w:val="000000"/>
                <w:szCs w:val="18"/>
                <w:lang w:eastAsia="en-GB"/>
              </w:rPr>
            </w:pPr>
            <w:r w:rsidRPr="00524BEE">
              <w:rPr>
                <w:rFonts w:cs="Arial"/>
                <w:b/>
                <w:bCs/>
                <w:color w:val="000000"/>
                <w:szCs w:val="18"/>
                <w:lang w:eastAsia="en-GB"/>
              </w:rPr>
              <w:t>223.24</w:t>
            </w:r>
          </w:p>
        </w:tc>
      </w:tr>
      <w:tr w:rsidR="00547E6D" w:rsidRPr="00524BEE" w14:paraId="091BB30E"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755543A" w14:textId="77777777" w:rsidR="00547E6D" w:rsidRPr="00524BEE" w:rsidRDefault="00547E6D" w:rsidP="00B02F8B">
            <w:pPr>
              <w:spacing w:after="0"/>
              <w:rPr>
                <w:rFonts w:cs="Arial"/>
                <w:b/>
                <w:bCs/>
                <w:color w:val="000000"/>
                <w:szCs w:val="18"/>
                <w:lang w:eastAsia="en-GB"/>
              </w:rPr>
            </w:pPr>
            <w:r w:rsidRPr="00524BEE">
              <w:rPr>
                <w:rFonts w:cs="Arial"/>
                <w:color w:val="000000"/>
                <w:szCs w:val="18"/>
                <w:lang w:eastAsia="en-GB"/>
              </w:rPr>
              <w:t>Fylde</w:t>
            </w:r>
          </w:p>
        </w:tc>
        <w:tc>
          <w:tcPr>
            <w:tcW w:w="1417" w:type="dxa"/>
            <w:tcBorders>
              <w:top w:val="nil"/>
              <w:left w:val="nil"/>
              <w:bottom w:val="single" w:sz="4" w:space="0" w:color="auto"/>
              <w:right w:val="single" w:sz="4" w:space="0" w:color="auto"/>
            </w:tcBorders>
            <w:shd w:val="clear" w:color="auto" w:fill="FFFFFF"/>
            <w:noWrap/>
            <w:vAlign w:val="bottom"/>
            <w:hideMark/>
          </w:tcPr>
          <w:p w14:paraId="6F8CD6DC" w14:textId="77777777" w:rsidR="00547E6D" w:rsidRPr="00524BEE" w:rsidRDefault="00547E6D" w:rsidP="00B02F8B">
            <w:pPr>
              <w:spacing w:after="0"/>
              <w:jc w:val="right"/>
              <w:rPr>
                <w:rFonts w:cs="Arial"/>
                <w:b/>
                <w:bCs/>
                <w:color w:val="000000"/>
                <w:szCs w:val="18"/>
                <w:lang w:eastAsia="en-GB"/>
              </w:rPr>
            </w:pPr>
            <w:r w:rsidRPr="00524BEE">
              <w:rPr>
                <w:rFonts w:cs="Arial"/>
                <w:color w:val="000000"/>
                <w:szCs w:val="18"/>
                <w:lang w:eastAsia="en-GB"/>
              </w:rPr>
              <w:t>214.91</w:t>
            </w:r>
          </w:p>
        </w:tc>
      </w:tr>
      <w:tr w:rsidR="00547E6D" w:rsidRPr="00524BEE" w14:paraId="1BB4C5B2"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6B0E0C1"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West Lancs.</w:t>
            </w:r>
          </w:p>
        </w:tc>
        <w:tc>
          <w:tcPr>
            <w:tcW w:w="1417" w:type="dxa"/>
            <w:tcBorders>
              <w:top w:val="nil"/>
              <w:left w:val="nil"/>
              <w:bottom w:val="single" w:sz="4" w:space="0" w:color="auto"/>
              <w:right w:val="single" w:sz="4" w:space="0" w:color="auto"/>
            </w:tcBorders>
            <w:shd w:val="clear" w:color="auto" w:fill="FFFFFF"/>
            <w:noWrap/>
            <w:vAlign w:val="bottom"/>
            <w:hideMark/>
          </w:tcPr>
          <w:p w14:paraId="4AAAF639"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213.39</w:t>
            </w:r>
          </w:p>
        </w:tc>
      </w:tr>
      <w:tr w:rsidR="00547E6D" w:rsidRPr="00524BEE" w14:paraId="0C9B90DB"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0111011B"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 xml:space="preserve">Wyre </w:t>
            </w:r>
          </w:p>
        </w:tc>
        <w:tc>
          <w:tcPr>
            <w:tcW w:w="1417" w:type="dxa"/>
            <w:tcBorders>
              <w:top w:val="nil"/>
              <w:left w:val="nil"/>
              <w:bottom w:val="single" w:sz="4" w:space="0" w:color="auto"/>
              <w:right w:val="single" w:sz="4" w:space="0" w:color="auto"/>
            </w:tcBorders>
            <w:shd w:val="clear" w:color="auto" w:fill="FFFFFF"/>
            <w:noWrap/>
            <w:vAlign w:val="bottom"/>
            <w:hideMark/>
          </w:tcPr>
          <w:p w14:paraId="04640835"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209.74</w:t>
            </w:r>
          </w:p>
        </w:tc>
      </w:tr>
      <w:tr w:rsidR="00547E6D" w:rsidRPr="00524BEE" w14:paraId="2B039404"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hideMark/>
          </w:tcPr>
          <w:p w14:paraId="4710D7FD" w14:textId="77777777" w:rsidR="00547E6D" w:rsidRPr="00524BEE" w:rsidRDefault="00547E6D" w:rsidP="00B02F8B">
            <w:pPr>
              <w:spacing w:after="0"/>
              <w:rPr>
                <w:rFonts w:cs="Arial"/>
                <w:color w:val="000000"/>
                <w:szCs w:val="18"/>
                <w:lang w:eastAsia="en-GB"/>
              </w:rPr>
            </w:pPr>
            <w:r w:rsidRPr="00524BEE">
              <w:rPr>
                <w:rFonts w:cs="Arial"/>
                <w:color w:val="000000"/>
                <w:szCs w:val="18"/>
                <w:lang w:eastAsia="en-GB"/>
              </w:rPr>
              <w:t>Chorley</w:t>
            </w:r>
          </w:p>
        </w:tc>
        <w:tc>
          <w:tcPr>
            <w:tcW w:w="1417" w:type="dxa"/>
            <w:tcBorders>
              <w:top w:val="nil"/>
              <w:left w:val="nil"/>
              <w:bottom w:val="single" w:sz="4" w:space="0" w:color="auto"/>
              <w:right w:val="single" w:sz="4" w:space="0" w:color="auto"/>
            </w:tcBorders>
            <w:shd w:val="clear" w:color="auto" w:fill="FFFFFF"/>
            <w:noWrap/>
            <w:vAlign w:val="bottom"/>
            <w:hideMark/>
          </w:tcPr>
          <w:p w14:paraId="6C3AE8D8" w14:textId="77777777" w:rsidR="00547E6D" w:rsidRPr="00524BEE" w:rsidRDefault="00547E6D" w:rsidP="00B02F8B">
            <w:pPr>
              <w:spacing w:after="0"/>
              <w:jc w:val="right"/>
              <w:rPr>
                <w:rFonts w:cs="Arial"/>
                <w:color w:val="000000"/>
                <w:szCs w:val="18"/>
                <w:lang w:eastAsia="en-GB"/>
              </w:rPr>
            </w:pPr>
            <w:r w:rsidRPr="00524BEE">
              <w:rPr>
                <w:rFonts w:cs="Arial"/>
                <w:color w:val="000000"/>
                <w:szCs w:val="18"/>
                <w:lang w:eastAsia="en-GB"/>
              </w:rPr>
              <w:t>195.76</w:t>
            </w:r>
          </w:p>
        </w:tc>
      </w:tr>
      <w:tr w:rsidR="00547E6D" w:rsidRPr="00524BEE" w14:paraId="1E8CAE41" w14:textId="77777777" w:rsidTr="00B02F8B">
        <w:trPr>
          <w:trHeight w:val="300"/>
        </w:trPr>
        <w:tc>
          <w:tcPr>
            <w:tcW w:w="2126" w:type="dxa"/>
            <w:tcBorders>
              <w:top w:val="nil"/>
              <w:left w:val="single" w:sz="4" w:space="0" w:color="auto"/>
              <w:bottom w:val="single" w:sz="4" w:space="0" w:color="auto"/>
              <w:right w:val="single" w:sz="4" w:space="0" w:color="auto"/>
            </w:tcBorders>
            <w:shd w:val="clear" w:color="auto" w:fill="FFFFFF"/>
            <w:noWrap/>
            <w:vAlign w:val="bottom"/>
          </w:tcPr>
          <w:p w14:paraId="43522682" w14:textId="77777777" w:rsidR="00547E6D" w:rsidRPr="00524BEE" w:rsidRDefault="00547E6D" w:rsidP="00B02F8B">
            <w:pPr>
              <w:spacing w:after="0"/>
              <w:rPr>
                <w:rFonts w:cs="Arial"/>
                <w:b/>
                <w:bCs/>
                <w:color w:val="000000"/>
                <w:szCs w:val="18"/>
                <w:lang w:eastAsia="en-GB"/>
              </w:rPr>
            </w:pPr>
            <w:r w:rsidRPr="00524BEE">
              <w:rPr>
                <w:rFonts w:cs="Arial"/>
                <w:color w:val="000000"/>
                <w:szCs w:val="18"/>
                <w:lang w:eastAsia="en-GB"/>
              </w:rPr>
              <w:t>Ribble Valley</w:t>
            </w:r>
          </w:p>
        </w:tc>
        <w:tc>
          <w:tcPr>
            <w:tcW w:w="1417" w:type="dxa"/>
            <w:tcBorders>
              <w:top w:val="nil"/>
              <w:left w:val="nil"/>
              <w:bottom w:val="single" w:sz="4" w:space="0" w:color="auto"/>
              <w:right w:val="single" w:sz="4" w:space="0" w:color="auto"/>
            </w:tcBorders>
            <w:shd w:val="clear" w:color="auto" w:fill="FFFFFF"/>
            <w:noWrap/>
            <w:vAlign w:val="bottom"/>
          </w:tcPr>
          <w:p w14:paraId="419C26E3" w14:textId="77777777" w:rsidR="00547E6D" w:rsidRPr="00524BEE" w:rsidRDefault="00547E6D" w:rsidP="00B02F8B">
            <w:pPr>
              <w:spacing w:after="0"/>
              <w:jc w:val="right"/>
              <w:rPr>
                <w:rFonts w:cs="Arial"/>
                <w:b/>
                <w:bCs/>
                <w:color w:val="000000"/>
                <w:szCs w:val="18"/>
                <w:lang w:eastAsia="en-GB"/>
              </w:rPr>
            </w:pPr>
            <w:r w:rsidRPr="00524BEE">
              <w:rPr>
                <w:rFonts w:cs="Arial"/>
                <w:color w:val="000000"/>
                <w:szCs w:val="18"/>
                <w:lang w:eastAsia="en-GB"/>
              </w:rPr>
              <w:t>155.69</w:t>
            </w:r>
          </w:p>
        </w:tc>
      </w:tr>
    </w:tbl>
    <w:p w14:paraId="123C95EB" w14:textId="77777777" w:rsidR="00547E6D" w:rsidRPr="00547E6D" w:rsidRDefault="00547E6D" w:rsidP="00547E6D">
      <w:pPr>
        <w:pStyle w:val="ListParagraph"/>
        <w:pBdr>
          <w:top w:val="single" w:sz="2" w:space="1" w:color="FFFFFF"/>
          <w:left w:val="single" w:sz="2" w:space="0" w:color="FFFFFF"/>
          <w:bottom w:val="single" w:sz="2" w:space="0" w:color="FFFFFF"/>
          <w:right w:val="single" w:sz="2" w:space="4" w:color="FFFFFF"/>
        </w:pBdr>
        <w:spacing w:after="0" w:line="240" w:lineRule="auto"/>
        <w:ind w:left="567"/>
        <w:jc w:val="both"/>
        <w:rPr>
          <w:rFonts w:ascii="Arial" w:hAnsi="Arial" w:cs="Arial"/>
        </w:rPr>
      </w:pPr>
    </w:p>
    <w:p w14:paraId="0A9252C6" w14:textId="69E91D2B" w:rsidR="00547E6D" w:rsidRDefault="00547E6D" w:rsidP="00547E6D">
      <w:pPr>
        <w:pStyle w:val="ListParagraph"/>
        <w:pBdr>
          <w:top w:val="single" w:sz="2" w:space="1" w:color="FFFFFF"/>
          <w:left w:val="single" w:sz="2" w:space="0" w:color="FFFFFF"/>
          <w:bottom w:val="single" w:sz="2" w:space="0" w:color="FFFFFF"/>
          <w:right w:val="single" w:sz="2" w:space="4" w:color="FFFFFF"/>
        </w:pBdr>
        <w:spacing w:after="0" w:line="240" w:lineRule="auto"/>
        <w:ind w:left="567"/>
        <w:jc w:val="both"/>
        <w:rPr>
          <w:rFonts w:ascii="Arial" w:hAnsi="Arial" w:cs="Arial"/>
        </w:rPr>
      </w:pPr>
      <w:r>
        <w:rPr>
          <w:rFonts w:ascii="Arial" w:hAnsi="Arial" w:cs="Arial"/>
        </w:rPr>
        <w:t xml:space="preserve"> </w:t>
      </w:r>
    </w:p>
    <w:p w14:paraId="3ED4F644" w14:textId="1F424E9D" w:rsidR="00547E6D" w:rsidRDefault="00547E6D" w:rsidP="00FC6842">
      <w:pPr>
        <w:pStyle w:val="ListParagraph"/>
        <w:numPr>
          <w:ilvl w:val="0"/>
          <w:numId w:val="8"/>
        </w:numPr>
        <w:pBdr>
          <w:top w:val="single" w:sz="2" w:space="1" w:color="FFFFFF"/>
          <w:left w:val="single" w:sz="2" w:space="0" w:color="FFFFFF"/>
          <w:bottom w:val="single" w:sz="2" w:space="0" w:color="FFFFFF"/>
          <w:right w:val="single" w:sz="2" w:space="4" w:color="FFFFFF"/>
        </w:pBdr>
        <w:tabs>
          <w:tab w:val="left" w:pos="567"/>
        </w:tabs>
        <w:spacing w:after="0" w:line="240" w:lineRule="auto"/>
        <w:jc w:val="both"/>
        <w:rPr>
          <w:rFonts w:ascii="Arial" w:hAnsi="Arial" w:cs="Arial"/>
        </w:rPr>
      </w:pPr>
      <w:r>
        <w:rPr>
          <w:rFonts w:ascii="Arial" w:hAnsi="Arial" w:cs="Arial"/>
        </w:rPr>
        <w:t xml:space="preserve">The </w:t>
      </w:r>
      <w:r w:rsidRPr="0032489B">
        <w:rPr>
          <w:rFonts w:ascii="Arial" w:hAnsi="Arial" w:cs="Arial"/>
        </w:rPr>
        <w:t>council will remain committed to supporting those who may struggle to pay their council tax because of the challenging circumstances they find themselves in. On that basis, the council will make use of the monies it has available to support council</w:t>
      </w:r>
      <w:r>
        <w:rPr>
          <w:rFonts w:ascii="Arial" w:hAnsi="Arial" w:cs="Arial"/>
        </w:rPr>
        <w:t xml:space="preserve"> taxpayers.</w:t>
      </w:r>
    </w:p>
    <w:p w14:paraId="0CCF121F" w14:textId="5178222C" w:rsidR="009044F4" w:rsidRDefault="009044F4" w:rsidP="003247DD">
      <w:pPr>
        <w:rPr>
          <w:rFonts w:ascii="Arial" w:hAnsi="Arial" w:cs="Arial"/>
        </w:rPr>
      </w:pPr>
    </w:p>
    <w:p w14:paraId="5D324F82" w14:textId="422FE16A" w:rsidR="003247DD" w:rsidRPr="009044F4" w:rsidRDefault="003247DD" w:rsidP="003247DD">
      <w:pPr>
        <w:pBdr>
          <w:top w:val="single" w:sz="2" w:space="1" w:color="FFFFFF"/>
          <w:left w:val="single" w:sz="2" w:space="0" w:color="FFFFFF"/>
          <w:bottom w:val="single" w:sz="2" w:space="2" w:color="FFFFFF"/>
          <w:right w:val="single" w:sz="2" w:space="4" w:color="FFFFFF"/>
        </w:pBdr>
        <w:tabs>
          <w:tab w:val="left" w:pos="567"/>
        </w:tabs>
        <w:ind w:right="141"/>
        <w:rPr>
          <w:b/>
          <w:iCs/>
          <w:color w:val="548DD4" w:themeColor="text2" w:themeTint="99"/>
        </w:rPr>
      </w:pPr>
      <w:r>
        <w:rPr>
          <w:b/>
          <w:i/>
          <w:color w:val="548DD4" w:themeColor="text2" w:themeTint="99"/>
        </w:rPr>
        <w:t>Investment sites</w:t>
      </w:r>
      <w:r w:rsidRPr="009044F4">
        <w:rPr>
          <w:b/>
          <w:iCs/>
          <w:color w:val="548DD4" w:themeColor="text2" w:themeTint="99"/>
        </w:rPr>
        <w:t xml:space="preserve">  </w:t>
      </w:r>
    </w:p>
    <w:p w14:paraId="0C246BD2" w14:textId="21B8E142" w:rsidR="009044F4" w:rsidRPr="00524BEE" w:rsidRDefault="009044F4" w:rsidP="009044F4">
      <w:pPr>
        <w:numPr>
          <w:ilvl w:val="0"/>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Pr>
          <w:rFonts w:ascii="Arial" w:hAnsi="Arial" w:cs="Arial"/>
        </w:rPr>
        <w:t xml:space="preserve">The </w:t>
      </w:r>
      <w:r w:rsidRPr="00524BEE">
        <w:rPr>
          <w:bCs/>
          <w:iCs/>
        </w:rPr>
        <w:t>council owns several sites that are being developed to bring forward the expansion of employment and housing within the borough. These include:</w:t>
      </w:r>
    </w:p>
    <w:p w14:paraId="6C490119" w14:textId="77777777" w:rsidR="009044F4" w:rsidRPr="00524BEE" w:rsidRDefault="009044F4" w:rsidP="009044F4">
      <w:pPr>
        <w:numPr>
          <w:ilvl w:val="1"/>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sidRPr="00524BEE">
        <w:rPr>
          <w:bCs/>
          <w:iCs/>
        </w:rPr>
        <w:t xml:space="preserve">McKenzie Arms – 15 high quality affordable homes that offer a high level of comfort whilst using minimal energy for heating. This development is also expected to </w:t>
      </w:r>
      <w:r w:rsidRPr="0084028F">
        <w:rPr>
          <w:bCs/>
          <w:iCs/>
        </w:rPr>
        <w:t>generate £65k</w:t>
      </w:r>
      <w:r w:rsidRPr="00524BEE">
        <w:rPr>
          <w:bCs/>
          <w:iCs/>
        </w:rPr>
        <w:t xml:space="preserve"> of annual net income to the council from April 2023 onwards.</w:t>
      </w:r>
    </w:p>
    <w:p w14:paraId="47BC038F" w14:textId="77777777" w:rsidR="009044F4" w:rsidRPr="0084028F" w:rsidRDefault="009044F4" w:rsidP="009044F4">
      <w:pPr>
        <w:numPr>
          <w:ilvl w:val="1"/>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Cs/>
          <w:iCs/>
        </w:rPr>
      </w:pPr>
      <w:r w:rsidRPr="00524BEE">
        <w:rPr>
          <w:bCs/>
          <w:iCs/>
        </w:rPr>
        <w:t xml:space="preserve">West Paddock Extra Care scheme </w:t>
      </w:r>
      <w:r>
        <w:rPr>
          <w:bCs/>
          <w:iCs/>
        </w:rPr>
        <w:t xml:space="preserve">- </w:t>
      </w:r>
      <w:r w:rsidRPr="00524BEE">
        <w:rPr>
          <w:bCs/>
          <w:iCs/>
        </w:rPr>
        <w:t xml:space="preserve">that will develop over 70 self-contained homes embracing the principles of the lifetime homes standard that ensures the homes will be accessible and adaptable. It is forecast this development will generate a net income to </w:t>
      </w:r>
      <w:r w:rsidRPr="0084028F">
        <w:rPr>
          <w:bCs/>
          <w:iCs/>
        </w:rPr>
        <w:t>the council in 2025/26 onwards.</w:t>
      </w:r>
    </w:p>
    <w:p w14:paraId="12E158F2" w14:textId="30B19E74" w:rsidR="009044F4" w:rsidRPr="00524BEE" w:rsidRDefault="009044F4" w:rsidP="009044F4">
      <w:pPr>
        <w:numPr>
          <w:ilvl w:val="1"/>
          <w:numId w:val="10"/>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rPr>
          <w:b/>
          <w:iCs/>
        </w:rPr>
      </w:pPr>
      <w:r w:rsidRPr="0084028F">
        <w:rPr>
          <w:bCs/>
          <w:iCs/>
        </w:rPr>
        <w:t>Worden Hall – the council is investing £</w:t>
      </w:r>
      <w:r w:rsidR="0084028F" w:rsidRPr="0084028F">
        <w:rPr>
          <w:bCs/>
          <w:iCs/>
        </w:rPr>
        <w:t>2.9</w:t>
      </w:r>
      <w:r w:rsidRPr="0084028F">
        <w:rPr>
          <w:bCs/>
          <w:iCs/>
        </w:rPr>
        <w:t>m in the refurbishment of the hall enhancing the visitor experience whilst also generating an increase in income to the council through hire of community spaces</w:t>
      </w:r>
      <w:r w:rsidRPr="00CB5F7A">
        <w:rPr>
          <w:bCs/>
          <w:iCs/>
        </w:rPr>
        <w:t xml:space="preserve">, additional </w:t>
      </w:r>
      <w:proofErr w:type="gramStart"/>
      <w:r w:rsidRPr="00CB5F7A">
        <w:rPr>
          <w:bCs/>
          <w:iCs/>
        </w:rPr>
        <w:t>events</w:t>
      </w:r>
      <w:proofErr w:type="gramEnd"/>
      <w:r w:rsidRPr="00CB5F7A">
        <w:rPr>
          <w:bCs/>
          <w:iCs/>
        </w:rPr>
        <w:t xml:space="preserve"> and improved café facilities. </w:t>
      </w:r>
      <w:r w:rsidR="000338B0">
        <w:rPr>
          <w:bCs/>
          <w:iCs/>
        </w:rPr>
        <w:t>Over the medium term, this enhanced facility will be cost-neutral to the council while attracting more visitors to the borough.</w:t>
      </w:r>
      <w:r w:rsidRPr="00524BEE">
        <w:rPr>
          <w:bCs/>
          <w:iCs/>
        </w:rPr>
        <w:t xml:space="preserve"> </w:t>
      </w:r>
    </w:p>
    <w:p w14:paraId="6A1E0724" w14:textId="77777777" w:rsidR="009044F4" w:rsidRPr="00524BEE" w:rsidRDefault="009044F4" w:rsidP="009044F4">
      <w:pPr>
        <w:pBdr>
          <w:top w:val="single" w:sz="2" w:space="1" w:color="FFFFFF"/>
          <w:left w:val="single" w:sz="2" w:space="0" w:color="FFFFFF"/>
          <w:bottom w:val="single" w:sz="2" w:space="2" w:color="FFFFFF"/>
          <w:right w:val="single" w:sz="2" w:space="4" w:color="FFFFFF"/>
        </w:pBdr>
        <w:tabs>
          <w:tab w:val="left" w:pos="567"/>
        </w:tabs>
        <w:ind w:right="141"/>
        <w:rPr>
          <w:bCs/>
          <w:i/>
        </w:rPr>
      </w:pPr>
    </w:p>
    <w:p w14:paraId="1D04D802" w14:textId="77777777" w:rsidR="009044F4" w:rsidRPr="009044F4" w:rsidRDefault="009044F4" w:rsidP="009044F4">
      <w:pPr>
        <w:pBdr>
          <w:top w:val="single" w:sz="2" w:space="1" w:color="FFFFFF"/>
          <w:left w:val="single" w:sz="2" w:space="0" w:color="FFFFFF"/>
          <w:bottom w:val="single" w:sz="2" w:space="2" w:color="FFFFFF"/>
          <w:right w:val="single" w:sz="2" w:space="4" w:color="FFFFFF"/>
        </w:pBdr>
        <w:tabs>
          <w:tab w:val="left" w:pos="567"/>
        </w:tabs>
        <w:ind w:right="141"/>
        <w:rPr>
          <w:b/>
          <w:iCs/>
          <w:color w:val="548DD4" w:themeColor="text2" w:themeTint="99"/>
        </w:rPr>
      </w:pPr>
      <w:r w:rsidRPr="009044F4">
        <w:rPr>
          <w:b/>
          <w:i/>
          <w:color w:val="548DD4" w:themeColor="text2" w:themeTint="99"/>
        </w:rPr>
        <w:t>Future Savings</w:t>
      </w:r>
      <w:r w:rsidRPr="009044F4">
        <w:rPr>
          <w:b/>
          <w:iCs/>
          <w:color w:val="548DD4" w:themeColor="text2" w:themeTint="99"/>
        </w:rPr>
        <w:t xml:space="preserve">  </w:t>
      </w:r>
    </w:p>
    <w:p w14:paraId="5DDF75BA" w14:textId="16668C58" w:rsidR="009044F4" w:rsidRDefault="009044F4" w:rsidP="009044F4">
      <w:pPr>
        <w:numPr>
          <w:ilvl w:val="0"/>
          <w:numId w:val="10"/>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rPr>
      </w:pPr>
      <w:r w:rsidRPr="00524BEE">
        <w:rPr>
          <w:bCs/>
          <w:iCs/>
        </w:rPr>
        <w:t xml:space="preserve">The council has been successful in generating efficiency savings and additional income to bridge the budget gap whilst continuing to deliver outstanding services to its residents. Required savings of </w:t>
      </w:r>
      <w:r w:rsidRPr="0084028F">
        <w:rPr>
          <w:bCs/>
          <w:iCs/>
        </w:rPr>
        <w:t>approximately £</w:t>
      </w:r>
      <w:r w:rsidR="0084028F" w:rsidRPr="0084028F">
        <w:rPr>
          <w:bCs/>
          <w:iCs/>
        </w:rPr>
        <w:t>0.732</w:t>
      </w:r>
      <w:r w:rsidRPr="0084028F">
        <w:rPr>
          <w:bCs/>
          <w:iCs/>
        </w:rPr>
        <w:t>m, subject to</w:t>
      </w:r>
      <w:r w:rsidRPr="00524BEE">
        <w:rPr>
          <w:bCs/>
          <w:iCs/>
        </w:rPr>
        <w:t xml:space="preserve"> future Government announcements, are forecast over the period of the MTFS to manage increases in costs as well as potential reductions in future Government funding. </w:t>
      </w:r>
    </w:p>
    <w:p w14:paraId="55AD258E" w14:textId="4DFD558F" w:rsidR="009577DF" w:rsidRPr="00A97D22" w:rsidRDefault="009577DF" w:rsidP="009044F4">
      <w:pPr>
        <w:numPr>
          <w:ilvl w:val="0"/>
          <w:numId w:val="10"/>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A97D22">
        <w:rPr>
          <w:rFonts w:ascii="Arial" w:hAnsi="Arial" w:cs="Arial"/>
          <w:bCs/>
          <w:iCs/>
        </w:rPr>
        <w:lastRenderedPageBreak/>
        <w:t xml:space="preserve">Whilst there is continued uncertainty about the potential level of savings required over the medium term, it is prudent to put in place plans to identify and secure the savings that may be required over the medium term. Through the Transformation Strategy and </w:t>
      </w:r>
      <w:proofErr w:type="gramStart"/>
      <w:r w:rsidRPr="00A97D22">
        <w:rPr>
          <w:rFonts w:ascii="Arial" w:hAnsi="Arial" w:cs="Arial"/>
          <w:bCs/>
          <w:iCs/>
        </w:rPr>
        <w:t>Medium Term</w:t>
      </w:r>
      <w:proofErr w:type="gramEnd"/>
      <w:r w:rsidRPr="00A97D22">
        <w:rPr>
          <w:rFonts w:ascii="Arial" w:hAnsi="Arial" w:cs="Arial"/>
          <w:bCs/>
          <w:iCs/>
        </w:rPr>
        <w:t xml:space="preserve"> Financial Strategy, the following are the key areas of savings that will be targeted for future;</w:t>
      </w:r>
      <w:r w:rsidR="001F4872" w:rsidRPr="00A97D22">
        <w:rPr>
          <w:rFonts w:ascii="Arial" w:hAnsi="Arial" w:cs="Arial"/>
          <w:bCs/>
          <w:iCs/>
        </w:rPr>
        <w:t xml:space="preserve"> </w:t>
      </w:r>
    </w:p>
    <w:p w14:paraId="20547013" w14:textId="57A1F895" w:rsidR="001F4872" w:rsidRPr="001F4872" w:rsidRDefault="001F4872" w:rsidP="009044F4">
      <w:pPr>
        <w:numPr>
          <w:ilvl w:val="1"/>
          <w:numId w:val="4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sidRPr="00A97D22">
        <w:rPr>
          <w:rFonts w:ascii="Arial" w:hAnsi="Arial" w:cs="Arial"/>
          <w:b/>
          <w:iCs/>
        </w:rPr>
        <w:t>Service savings</w:t>
      </w:r>
      <w:r w:rsidRPr="00A97D22">
        <w:rPr>
          <w:rFonts w:ascii="Arial" w:hAnsi="Arial" w:cs="Arial"/>
          <w:bCs/>
          <w:iCs/>
        </w:rPr>
        <w:t>. An exercise</w:t>
      </w:r>
      <w:r>
        <w:rPr>
          <w:rFonts w:ascii="Arial" w:hAnsi="Arial" w:cs="Arial"/>
          <w:bCs/>
          <w:iCs/>
        </w:rPr>
        <w:t xml:space="preserve"> has been undertaken that has identified a </w:t>
      </w:r>
      <w:r w:rsidRPr="003B70C0">
        <w:rPr>
          <w:rFonts w:ascii="Arial" w:hAnsi="Arial" w:cs="Arial"/>
          <w:bCs/>
          <w:iCs/>
        </w:rPr>
        <w:t>potential of £</w:t>
      </w:r>
      <w:r w:rsidR="003B70C0">
        <w:rPr>
          <w:rFonts w:ascii="Arial" w:hAnsi="Arial" w:cs="Arial"/>
          <w:bCs/>
          <w:iCs/>
        </w:rPr>
        <w:t>0.</w:t>
      </w:r>
      <w:r w:rsidR="003B70C0" w:rsidRPr="003B70C0">
        <w:rPr>
          <w:rFonts w:ascii="Arial" w:hAnsi="Arial" w:cs="Arial"/>
          <w:bCs/>
          <w:iCs/>
        </w:rPr>
        <w:t>470</w:t>
      </w:r>
      <w:r w:rsidR="003B70C0">
        <w:rPr>
          <w:rFonts w:ascii="Arial" w:hAnsi="Arial" w:cs="Arial"/>
          <w:bCs/>
          <w:iCs/>
        </w:rPr>
        <w:t>m</w:t>
      </w:r>
      <w:r w:rsidRPr="003B70C0">
        <w:rPr>
          <w:rFonts w:ascii="Arial" w:hAnsi="Arial" w:cs="Arial"/>
          <w:bCs/>
          <w:iCs/>
        </w:rPr>
        <w:t xml:space="preserve"> of </w:t>
      </w:r>
      <w:r>
        <w:rPr>
          <w:rFonts w:ascii="Arial" w:hAnsi="Arial" w:cs="Arial"/>
          <w:bCs/>
          <w:iCs/>
        </w:rPr>
        <w:t>savings over the next 3 years. An exercise has been undertaken to prioritise the options with an aim of minimising any adverse impact on service delivery</w:t>
      </w:r>
      <w:r w:rsidR="00FC4EF0">
        <w:rPr>
          <w:rFonts w:ascii="Arial" w:hAnsi="Arial" w:cs="Arial"/>
          <w:bCs/>
          <w:iCs/>
        </w:rPr>
        <w:t>;</w:t>
      </w:r>
      <w:r>
        <w:rPr>
          <w:rFonts w:ascii="Arial" w:hAnsi="Arial" w:cs="Arial"/>
          <w:bCs/>
          <w:iCs/>
        </w:rPr>
        <w:t xml:space="preserve"> </w:t>
      </w:r>
    </w:p>
    <w:p w14:paraId="506C0349" w14:textId="3B2A53F7" w:rsidR="001F4872" w:rsidRPr="001F4872" w:rsidRDefault="001F4872" w:rsidP="009044F4">
      <w:pPr>
        <w:numPr>
          <w:ilvl w:val="1"/>
          <w:numId w:val="4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Pr>
          <w:bCs/>
          <w:iCs/>
        </w:rPr>
        <w:t>the</w:t>
      </w:r>
      <w:r w:rsidR="009044F4" w:rsidRPr="00524BEE">
        <w:rPr>
          <w:bCs/>
          <w:iCs/>
        </w:rPr>
        <w:t xml:space="preserve"> </w:t>
      </w:r>
      <w:r w:rsidRPr="004944BE">
        <w:rPr>
          <w:rFonts w:ascii="Arial" w:hAnsi="Arial" w:cs="Arial"/>
          <w:bCs/>
          <w:iCs/>
        </w:rPr>
        <w:t xml:space="preserve">council has been successful in </w:t>
      </w:r>
      <w:r w:rsidRPr="004944BE">
        <w:rPr>
          <w:rFonts w:ascii="Arial" w:hAnsi="Arial" w:cs="Arial"/>
          <w:b/>
          <w:iCs/>
        </w:rPr>
        <w:t>investing within the borough</w:t>
      </w:r>
      <w:r w:rsidRPr="004944BE">
        <w:rPr>
          <w:rFonts w:ascii="Arial" w:hAnsi="Arial" w:cs="Arial"/>
          <w:bCs/>
          <w:iCs/>
        </w:rPr>
        <w:t xml:space="preserve"> to generate jobs, improve health services as well as improving the retail and night-time economy. Whilst delivering this, the council has also generated additional net income that supports other council services. The council will continue this approach, and in the continued redevelopment of the town centre</w:t>
      </w:r>
      <w:r w:rsidR="00FC4EF0">
        <w:rPr>
          <w:rFonts w:ascii="Arial" w:hAnsi="Arial" w:cs="Arial"/>
          <w:bCs/>
          <w:iCs/>
        </w:rPr>
        <w:t xml:space="preserve">, working to </w:t>
      </w:r>
      <w:r w:rsidRPr="004944BE">
        <w:rPr>
          <w:rFonts w:ascii="Arial" w:hAnsi="Arial" w:cs="Arial"/>
          <w:bCs/>
          <w:iCs/>
        </w:rPr>
        <w:t xml:space="preserve">identify further opportunities </w:t>
      </w:r>
      <w:r w:rsidR="005C0F80">
        <w:rPr>
          <w:rFonts w:ascii="Arial" w:hAnsi="Arial" w:cs="Arial"/>
          <w:bCs/>
          <w:iCs/>
        </w:rPr>
        <w:t xml:space="preserve">to </w:t>
      </w:r>
      <w:r w:rsidRPr="004944BE">
        <w:rPr>
          <w:rFonts w:ascii="Arial" w:hAnsi="Arial" w:cs="Arial"/>
          <w:bCs/>
          <w:iCs/>
        </w:rPr>
        <w:t>provide net income</w:t>
      </w:r>
      <w:r w:rsidR="005C0F80">
        <w:rPr>
          <w:rFonts w:ascii="Arial" w:hAnsi="Arial" w:cs="Arial"/>
          <w:bCs/>
          <w:iCs/>
        </w:rPr>
        <w:t>.</w:t>
      </w:r>
      <w:r w:rsidRPr="004944BE">
        <w:rPr>
          <w:rFonts w:ascii="Arial" w:hAnsi="Arial" w:cs="Arial"/>
          <w:bCs/>
          <w:iCs/>
        </w:rPr>
        <w:t xml:space="preserve"> The council has successfully brought in additional external funding from various sources to support investment in the borough including Homes England, Lancashire Enterprise Partnership (LEP), Community Infrastructure Levy (CIL) and S106 funding from developers in the borough. The council will build on this success to deliver future investments</w:t>
      </w:r>
      <w:r w:rsidR="00FC4EF0">
        <w:rPr>
          <w:rFonts w:ascii="Arial" w:hAnsi="Arial" w:cs="Arial"/>
          <w:bCs/>
          <w:iCs/>
        </w:rPr>
        <w:t>;</w:t>
      </w:r>
      <w:r w:rsidRPr="004944BE">
        <w:rPr>
          <w:rFonts w:ascii="Arial" w:hAnsi="Arial" w:cs="Arial"/>
          <w:bCs/>
          <w:iCs/>
        </w:rPr>
        <w:t xml:space="preserve"> </w:t>
      </w:r>
    </w:p>
    <w:p w14:paraId="1A9CB1EC" w14:textId="2D3B6D97" w:rsidR="001F4872" w:rsidRPr="00FC4EF0" w:rsidRDefault="001F4872" w:rsidP="009044F4">
      <w:pPr>
        <w:numPr>
          <w:ilvl w:val="1"/>
          <w:numId w:val="4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Pr>
          <w:bCs/>
          <w:iCs/>
        </w:rPr>
        <w:t>the</w:t>
      </w:r>
      <w:r w:rsidR="009044F4" w:rsidRPr="00524BEE">
        <w:rPr>
          <w:bCs/>
          <w:iCs/>
        </w:rPr>
        <w:t xml:space="preserve"> </w:t>
      </w:r>
      <w:r w:rsidRPr="004944BE">
        <w:rPr>
          <w:rFonts w:ascii="Arial" w:hAnsi="Arial" w:cs="Arial"/>
          <w:bCs/>
          <w:iCs/>
        </w:rPr>
        <w:t xml:space="preserve">council is ambitious in its delivery of services and will continue to pursue </w:t>
      </w:r>
      <w:r w:rsidRPr="004944BE">
        <w:rPr>
          <w:rFonts w:ascii="Arial" w:hAnsi="Arial" w:cs="Arial"/>
          <w:b/>
          <w:iCs/>
        </w:rPr>
        <w:t>alternative models of delivering its services</w:t>
      </w:r>
      <w:r w:rsidRPr="004944BE">
        <w:rPr>
          <w:rFonts w:ascii="Arial" w:hAnsi="Arial" w:cs="Arial"/>
          <w:bCs/>
          <w:iCs/>
        </w:rPr>
        <w:t xml:space="preserve">. The MTFS includes efficiency savings that have already been secured through the expansion of shared services with </w:t>
      </w:r>
      <w:r>
        <w:rPr>
          <w:rFonts w:ascii="Arial" w:hAnsi="Arial" w:cs="Arial"/>
          <w:bCs/>
          <w:iCs/>
        </w:rPr>
        <w:t>Chorley</w:t>
      </w:r>
      <w:r w:rsidRPr="004944BE">
        <w:rPr>
          <w:rFonts w:ascii="Arial" w:hAnsi="Arial" w:cs="Arial"/>
          <w:bCs/>
          <w:iCs/>
        </w:rPr>
        <w:t xml:space="preserve"> Council. As Phase 2 of the Shared Services model reaches the final stages of implementation, no additional savings have been identified, however the council will consider further opportunities alongside its wider priorities if improvements and efficiencies can be attained. The council will also seek to reduce the costs of leisure services, now delivered by the council’s wholly owned company, </w:t>
      </w:r>
      <w:r>
        <w:rPr>
          <w:rFonts w:ascii="Arial" w:hAnsi="Arial" w:cs="Arial"/>
          <w:bCs/>
          <w:iCs/>
        </w:rPr>
        <w:t>South Ribble</w:t>
      </w:r>
      <w:r w:rsidRPr="004944BE">
        <w:rPr>
          <w:rFonts w:ascii="Arial" w:hAnsi="Arial" w:cs="Arial"/>
          <w:bCs/>
          <w:iCs/>
        </w:rPr>
        <w:t xml:space="preserve"> Leisure Ltd, established in </w:t>
      </w:r>
      <w:r>
        <w:rPr>
          <w:rFonts w:ascii="Arial" w:hAnsi="Arial" w:cs="Arial"/>
          <w:bCs/>
          <w:iCs/>
        </w:rPr>
        <w:t>September</w:t>
      </w:r>
      <w:r w:rsidRPr="004944BE">
        <w:rPr>
          <w:rFonts w:ascii="Arial" w:hAnsi="Arial" w:cs="Arial"/>
          <w:bCs/>
          <w:iCs/>
        </w:rPr>
        <w:t xml:space="preserve"> 2021. Over the course of the MTFS we will work with the new company to reduce its net operating costs to move to generating a net benefit to </w:t>
      </w:r>
      <w:r w:rsidRPr="00FC4EF0">
        <w:rPr>
          <w:rFonts w:ascii="Arial" w:hAnsi="Arial" w:cs="Arial"/>
          <w:bCs/>
          <w:iCs/>
        </w:rPr>
        <w:t xml:space="preserve">the council.  </w:t>
      </w:r>
    </w:p>
    <w:p w14:paraId="52E699FA" w14:textId="61B96E7B" w:rsidR="009044F4" w:rsidRPr="00FC4EF0" w:rsidRDefault="00FC4EF0" w:rsidP="009044F4">
      <w:pPr>
        <w:numPr>
          <w:ilvl w:val="1"/>
          <w:numId w:val="4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Pr>
          <w:bCs/>
          <w:iCs/>
        </w:rPr>
        <w:t>t</w:t>
      </w:r>
      <w:r w:rsidR="009044F4" w:rsidRPr="00FC4EF0">
        <w:rPr>
          <w:bCs/>
          <w:iCs/>
        </w:rPr>
        <w:t xml:space="preserve">he council has an </w:t>
      </w:r>
      <w:r w:rsidR="009044F4" w:rsidRPr="00FC4EF0">
        <w:rPr>
          <w:b/>
          <w:iCs/>
        </w:rPr>
        <w:t>ambitious capital programme</w:t>
      </w:r>
      <w:r w:rsidR="009044F4" w:rsidRPr="00FC4EF0">
        <w:rPr>
          <w:bCs/>
          <w:iCs/>
        </w:rPr>
        <w:t xml:space="preserve"> that will deliver improvements to assets across the Borough. The council has successfully bid </w:t>
      </w:r>
      <w:r w:rsidR="009044F4" w:rsidRPr="0084028F">
        <w:rPr>
          <w:bCs/>
          <w:iCs/>
        </w:rPr>
        <w:t>for a £25m Town Fund grant with proposed match funding. This will deliver transformational change to areas of Leyland including new housing</w:t>
      </w:r>
      <w:r w:rsidR="009044F4" w:rsidRPr="00FC4EF0">
        <w:rPr>
          <w:bCs/>
          <w:iCs/>
        </w:rPr>
        <w:t xml:space="preserve"> and employment opportunities. It is expected that this will also deliver a net income stream to the council helping it to manage future budget deficits.</w:t>
      </w:r>
    </w:p>
    <w:p w14:paraId="73ADE43C" w14:textId="42C1D9C4" w:rsidR="009044F4" w:rsidRPr="00FC4EF0" w:rsidRDefault="00FC4EF0" w:rsidP="009044F4">
      <w:pPr>
        <w:numPr>
          <w:ilvl w:val="1"/>
          <w:numId w:val="41"/>
        </w:numPr>
        <w:pBdr>
          <w:top w:val="single" w:sz="2" w:space="1" w:color="FFFFFF"/>
          <w:left w:val="single" w:sz="2" w:space="0" w:color="FFFFFF"/>
          <w:bottom w:val="single" w:sz="2" w:space="2" w:color="FFFFFF"/>
          <w:right w:val="single" w:sz="2" w:space="4" w:color="FFFFFF"/>
        </w:pBdr>
        <w:tabs>
          <w:tab w:val="left" w:pos="567"/>
        </w:tabs>
        <w:spacing w:line="240" w:lineRule="auto"/>
        <w:ind w:right="141"/>
        <w:jc w:val="both"/>
        <w:rPr>
          <w:bCs/>
          <w:iCs/>
          <w:color w:val="FF0000"/>
        </w:rPr>
      </w:pPr>
      <w:r>
        <w:rPr>
          <w:bCs/>
          <w:iCs/>
        </w:rPr>
        <w:t>t</w:t>
      </w:r>
      <w:r w:rsidR="009044F4" w:rsidRPr="00FC4EF0">
        <w:rPr>
          <w:bCs/>
          <w:iCs/>
        </w:rPr>
        <w:t xml:space="preserve">he council is committed to reducing its impact on the environment with the aim of being carbon neutral by 2030. A £5m bid to </w:t>
      </w:r>
      <w:r w:rsidR="009044F4" w:rsidRPr="00FC4EF0">
        <w:rPr>
          <w:b/>
          <w:iCs/>
        </w:rPr>
        <w:t>decarbonise its assets</w:t>
      </w:r>
      <w:r w:rsidR="009044F4" w:rsidRPr="00FC4EF0">
        <w:rPr>
          <w:bCs/>
          <w:iCs/>
        </w:rPr>
        <w:t xml:space="preserve"> has been </w:t>
      </w:r>
      <w:r w:rsidR="00A26A80" w:rsidRPr="00FC4EF0">
        <w:rPr>
          <w:bCs/>
          <w:iCs/>
        </w:rPr>
        <w:t>approved by</w:t>
      </w:r>
      <w:r w:rsidR="009044F4" w:rsidRPr="00FC4EF0">
        <w:rPr>
          <w:bCs/>
          <w:iCs/>
        </w:rPr>
        <w:t xml:space="preserve"> Government</w:t>
      </w:r>
      <w:r w:rsidR="00A26A80" w:rsidRPr="00FC4EF0">
        <w:rPr>
          <w:bCs/>
          <w:iCs/>
        </w:rPr>
        <w:t>;</w:t>
      </w:r>
      <w:r w:rsidR="009044F4" w:rsidRPr="00FC4EF0">
        <w:rPr>
          <w:bCs/>
          <w:iCs/>
        </w:rPr>
        <w:t xml:space="preserve"> this grant will enable the council to significantly reduce its use of fossil fuels to power its leisure centres, vehicle depot and office buildings. As well as reducing the council’s carbon footprint, it is also expected that </w:t>
      </w:r>
      <w:r w:rsidR="00A26A80" w:rsidRPr="00FC4EF0">
        <w:rPr>
          <w:bCs/>
          <w:iCs/>
        </w:rPr>
        <w:t>the</w:t>
      </w:r>
      <w:r w:rsidR="009044F4" w:rsidRPr="00FC4EF0">
        <w:rPr>
          <w:bCs/>
          <w:iCs/>
        </w:rPr>
        <w:t xml:space="preserve"> investment will reduce the ongoing revenue costs of operating its buildings with estimate savings of approximately £600k over an 8 year period, as per the report to Council on 21 July 2021.</w:t>
      </w:r>
    </w:p>
    <w:p w14:paraId="1A84C7E4" w14:textId="0E1B66FC" w:rsidR="00A26A80" w:rsidRPr="000338B0" w:rsidRDefault="009044F4" w:rsidP="0081001E">
      <w:pPr>
        <w:pStyle w:val="ListParagraph"/>
        <w:numPr>
          <w:ilvl w:val="0"/>
          <w:numId w:val="10"/>
        </w:numPr>
        <w:pBdr>
          <w:top w:val="single" w:sz="2" w:space="1" w:color="FFFFFF"/>
          <w:left w:val="single" w:sz="2" w:space="0" w:color="FFFFFF"/>
          <w:bottom w:val="single" w:sz="2" w:space="2" w:color="FFFFFF"/>
          <w:right w:val="single" w:sz="2" w:space="4" w:color="FFFFFF"/>
        </w:pBdr>
        <w:spacing w:after="0" w:line="240" w:lineRule="auto"/>
        <w:ind w:right="141"/>
        <w:contextualSpacing w:val="0"/>
        <w:jc w:val="both"/>
        <w:rPr>
          <w:bCs/>
          <w:iCs/>
          <w:color w:val="FF0000"/>
        </w:rPr>
      </w:pPr>
      <w:r w:rsidRPr="000338B0">
        <w:rPr>
          <w:rFonts w:eastAsia="Times New Roman"/>
        </w:rPr>
        <w:t xml:space="preserve">Following a request from the unions, and in working to mitigate the risks highlighted in the Strategic Risk Register around staff satisfaction and retention in a changing jobs market, it is proposed that work is undertaken during 2022/23 to move staff to the </w:t>
      </w:r>
      <w:r w:rsidRPr="000338B0">
        <w:rPr>
          <w:rFonts w:eastAsia="Times New Roman"/>
        </w:rPr>
        <w:lastRenderedPageBreak/>
        <w:t xml:space="preserve">shared terms and conditions. The costs of such a move would then be built into the Budget for 2023/24 and the MTFS beyond. </w:t>
      </w:r>
    </w:p>
    <w:p w14:paraId="20BC8C3B" w14:textId="3958CECC" w:rsidR="00547E6D" w:rsidRDefault="00547E6D" w:rsidP="00547E6D">
      <w:pPr>
        <w:pStyle w:val="ListParagraph"/>
        <w:pBdr>
          <w:top w:val="single" w:sz="2" w:space="1" w:color="FFFFFF"/>
          <w:left w:val="single" w:sz="2" w:space="0" w:color="FFFFFF"/>
          <w:bottom w:val="single" w:sz="2" w:space="0" w:color="FFFFFF"/>
          <w:right w:val="single" w:sz="2" w:space="4" w:color="FFFFFF"/>
        </w:pBdr>
        <w:spacing w:after="0" w:line="240" w:lineRule="auto"/>
        <w:ind w:left="567"/>
        <w:jc w:val="both"/>
        <w:rPr>
          <w:rFonts w:ascii="Arial" w:hAnsi="Arial" w:cs="Arial"/>
        </w:rPr>
      </w:pPr>
    </w:p>
    <w:p w14:paraId="17115CF7" w14:textId="77777777" w:rsidR="00444039" w:rsidRPr="00F15273" w:rsidRDefault="00444039" w:rsidP="00F15273">
      <w:pPr>
        <w:pStyle w:val="Heading1"/>
        <w:spacing w:before="0" w:beforeAutospacing="0" w:after="0" w:afterAutospacing="0"/>
        <w:rPr>
          <w:rFonts w:asciiTheme="majorHAnsi" w:eastAsiaTheme="minorHAnsi" w:hAnsiTheme="majorHAnsi" w:cstheme="majorHAnsi"/>
          <w:color w:val="147FA8"/>
          <w:kern w:val="0"/>
          <w:sz w:val="28"/>
          <w:szCs w:val="28"/>
          <w:lang w:eastAsia="en-US"/>
        </w:rPr>
      </w:pPr>
      <w:r w:rsidRPr="00F15273">
        <w:rPr>
          <w:rFonts w:asciiTheme="majorHAnsi" w:eastAsiaTheme="minorHAnsi" w:hAnsiTheme="majorHAnsi" w:cstheme="majorHAnsi"/>
          <w:color w:val="147FA8"/>
          <w:kern w:val="0"/>
          <w:sz w:val="28"/>
          <w:szCs w:val="28"/>
          <w:lang w:eastAsia="en-US"/>
        </w:rPr>
        <w:t>CONCLUSION</w:t>
      </w:r>
    </w:p>
    <w:p w14:paraId="102833B2" w14:textId="77777777" w:rsidR="00444039" w:rsidRDefault="00444039" w:rsidP="003D39E5">
      <w:pPr>
        <w:spacing w:line="240" w:lineRule="auto"/>
        <w:jc w:val="both"/>
        <w:rPr>
          <w:rFonts w:ascii="Arial" w:hAnsi="Arial" w:cs="Arial"/>
          <w:sz w:val="24"/>
          <w:szCs w:val="24"/>
        </w:rPr>
      </w:pPr>
    </w:p>
    <w:p w14:paraId="17BC157F" w14:textId="7AF673CC" w:rsidR="00046B73" w:rsidRDefault="00444039" w:rsidP="003D39E5">
      <w:pPr>
        <w:pStyle w:val="ListParagraph"/>
        <w:numPr>
          <w:ilvl w:val="0"/>
          <w:numId w:val="10"/>
        </w:numPr>
        <w:tabs>
          <w:tab w:val="left" w:pos="567"/>
        </w:tabs>
        <w:spacing w:after="0" w:line="240" w:lineRule="auto"/>
        <w:jc w:val="both"/>
        <w:rPr>
          <w:rFonts w:ascii="Arial" w:hAnsi="Arial" w:cs="Arial"/>
          <w:szCs w:val="24"/>
        </w:rPr>
      </w:pPr>
      <w:r>
        <w:rPr>
          <w:rFonts w:ascii="Arial" w:hAnsi="Arial" w:cs="Arial"/>
          <w:szCs w:val="24"/>
        </w:rPr>
        <w:t xml:space="preserve">The </w:t>
      </w:r>
      <w:r w:rsidR="00AC47B7" w:rsidRPr="00B003BF">
        <w:rPr>
          <w:rFonts w:ascii="Arial" w:hAnsi="Arial" w:cs="Arial"/>
          <w:szCs w:val="24"/>
        </w:rPr>
        <w:t xml:space="preserve">review of the MTFS has again been undertaken against a background of significant reductions in funding and increasing costs. These factors present a risk to the </w:t>
      </w:r>
      <w:r w:rsidR="00AC47B7">
        <w:rPr>
          <w:rFonts w:ascii="Arial" w:hAnsi="Arial" w:cs="Arial"/>
          <w:szCs w:val="24"/>
        </w:rPr>
        <w:t>c</w:t>
      </w:r>
      <w:r w:rsidR="00AC47B7" w:rsidRPr="00B003BF">
        <w:rPr>
          <w:rFonts w:ascii="Arial" w:hAnsi="Arial" w:cs="Arial"/>
          <w:szCs w:val="24"/>
        </w:rPr>
        <w:t xml:space="preserve">ouncil’s sustainable financial position unless budget savings continue to be delivered and additional income opportunities are provided alongside the delivery of the council’s Corporate Strategy </w:t>
      </w:r>
      <w:r w:rsidR="00046B73">
        <w:rPr>
          <w:rFonts w:ascii="Arial" w:hAnsi="Arial" w:cs="Arial"/>
          <w:szCs w:val="24"/>
        </w:rPr>
        <w:t>priorities.</w:t>
      </w:r>
    </w:p>
    <w:p w14:paraId="5871D87A" w14:textId="77777777" w:rsidR="00046B73" w:rsidRDefault="00046B73" w:rsidP="003D39E5">
      <w:pPr>
        <w:pStyle w:val="ListParagraph"/>
        <w:spacing w:after="0" w:line="240" w:lineRule="auto"/>
        <w:ind w:left="567"/>
        <w:jc w:val="both"/>
        <w:rPr>
          <w:rFonts w:ascii="Arial" w:hAnsi="Arial" w:cs="Arial"/>
          <w:szCs w:val="24"/>
        </w:rPr>
      </w:pPr>
    </w:p>
    <w:p w14:paraId="58BB4051" w14:textId="5120D573" w:rsidR="00444039" w:rsidRDefault="00444039" w:rsidP="003D39E5">
      <w:pPr>
        <w:pStyle w:val="ListParagraph"/>
        <w:numPr>
          <w:ilvl w:val="0"/>
          <w:numId w:val="10"/>
        </w:numPr>
        <w:tabs>
          <w:tab w:val="left" w:pos="567"/>
        </w:tabs>
        <w:spacing w:after="0" w:line="240" w:lineRule="auto"/>
        <w:jc w:val="both"/>
        <w:rPr>
          <w:rFonts w:ascii="Arial" w:hAnsi="Arial" w:cs="Arial"/>
          <w:szCs w:val="24"/>
        </w:rPr>
      </w:pPr>
      <w:r>
        <w:rPr>
          <w:rFonts w:ascii="Arial" w:hAnsi="Arial" w:cs="Arial"/>
          <w:szCs w:val="24"/>
        </w:rPr>
        <w:t>The MTFS covers three years between 202</w:t>
      </w:r>
      <w:r w:rsidR="00046B73">
        <w:rPr>
          <w:rFonts w:ascii="Arial" w:hAnsi="Arial" w:cs="Arial"/>
          <w:szCs w:val="24"/>
        </w:rPr>
        <w:t>2</w:t>
      </w:r>
      <w:r>
        <w:rPr>
          <w:rFonts w:ascii="Arial" w:hAnsi="Arial" w:cs="Arial"/>
          <w:szCs w:val="24"/>
        </w:rPr>
        <w:t>/2</w:t>
      </w:r>
      <w:r w:rsidR="00046B73">
        <w:rPr>
          <w:rFonts w:ascii="Arial" w:hAnsi="Arial" w:cs="Arial"/>
          <w:szCs w:val="24"/>
        </w:rPr>
        <w:t>3</w:t>
      </w:r>
      <w:r>
        <w:rPr>
          <w:rFonts w:ascii="Arial" w:hAnsi="Arial" w:cs="Arial"/>
          <w:szCs w:val="24"/>
        </w:rPr>
        <w:t xml:space="preserve"> and 202</w:t>
      </w:r>
      <w:r w:rsidR="00046B73">
        <w:rPr>
          <w:rFonts w:ascii="Arial" w:hAnsi="Arial" w:cs="Arial"/>
          <w:szCs w:val="24"/>
        </w:rPr>
        <w:t>4</w:t>
      </w:r>
      <w:r>
        <w:rPr>
          <w:rFonts w:ascii="Arial" w:hAnsi="Arial" w:cs="Arial"/>
          <w:szCs w:val="24"/>
        </w:rPr>
        <w:t>/2</w:t>
      </w:r>
      <w:r w:rsidR="00046B73">
        <w:rPr>
          <w:rFonts w:ascii="Arial" w:hAnsi="Arial" w:cs="Arial"/>
          <w:szCs w:val="24"/>
        </w:rPr>
        <w:t>5</w:t>
      </w:r>
      <w:r>
        <w:rPr>
          <w:rFonts w:ascii="Arial" w:hAnsi="Arial" w:cs="Arial"/>
          <w:szCs w:val="24"/>
        </w:rPr>
        <w:t xml:space="preserve"> </w:t>
      </w:r>
      <w:r w:rsidR="00046B73">
        <w:rPr>
          <w:rFonts w:ascii="Arial" w:hAnsi="Arial" w:cs="Arial"/>
          <w:szCs w:val="24"/>
        </w:rPr>
        <w:t xml:space="preserve">and whilst the </w:t>
      </w:r>
      <w:r w:rsidR="00046B73" w:rsidRPr="00B003BF">
        <w:rPr>
          <w:rFonts w:ascii="Arial" w:hAnsi="Arial" w:cs="Arial"/>
          <w:szCs w:val="24"/>
        </w:rPr>
        <w:t>budget has been balanced for 202</w:t>
      </w:r>
      <w:r w:rsidR="00046B73">
        <w:rPr>
          <w:rFonts w:ascii="Arial" w:hAnsi="Arial" w:cs="Arial"/>
          <w:szCs w:val="24"/>
        </w:rPr>
        <w:t>2</w:t>
      </w:r>
      <w:r w:rsidR="00046B73" w:rsidRPr="00B003BF">
        <w:rPr>
          <w:rFonts w:ascii="Arial" w:hAnsi="Arial" w:cs="Arial"/>
          <w:szCs w:val="24"/>
        </w:rPr>
        <w:t>/2</w:t>
      </w:r>
      <w:r w:rsidR="00046B73">
        <w:rPr>
          <w:rFonts w:ascii="Arial" w:hAnsi="Arial" w:cs="Arial"/>
          <w:szCs w:val="24"/>
        </w:rPr>
        <w:t>3,</w:t>
      </w:r>
      <w:r w:rsidR="00046B73" w:rsidRPr="00B003BF">
        <w:rPr>
          <w:rFonts w:ascii="Arial" w:hAnsi="Arial" w:cs="Arial"/>
          <w:szCs w:val="24"/>
        </w:rPr>
        <w:t xml:space="preserve"> through a combination of efficiency savings and income generation</w:t>
      </w:r>
      <w:r w:rsidR="00046B73">
        <w:rPr>
          <w:rFonts w:ascii="Arial" w:hAnsi="Arial" w:cs="Arial"/>
          <w:szCs w:val="24"/>
        </w:rPr>
        <w:t>, budget gaps remain for 2023/24 and 2024/25.</w:t>
      </w:r>
    </w:p>
    <w:p w14:paraId="229F5505" w14:textId="77777777" w:rsidR="00444039" w:rsidRDefault="00444039" w:rsidP="003D39E5">
      <w:pPr>
        <w:pStyle w:val="ListParagraph"/>
        <w:spacing w:line="240" w:lineRule="auto"/>
        <w:jc w:val="both"/>
        <w:rPr>
          <w:rFonts w:ascii="Arial" w:hAnsi="Arial" w:cs="Arial"/>
          <w:szCs w:val="24"/>
        </w:rPr>
      </w:pPr>
    </w:p>
    <w:p w14:paraId="4D2C0F87" w14:textId="72CD40F5" w:rsidR="00046B73" w:rsidRPr="00AC47B7" w:rsidRDefault="00046B73" w:rsidP="003D39E5">
      <w:pPr>
        <w:pStyle w:val="ListParagraph"/>
        <w:numPr>
          <w:ilvl w:val="0"/>
          <w:numId w:val="10"/>
        </w:numPr>
        <w:tabs>
          <w:tab w:val="left" w:pos="567"/>
        </w:tabs>
        <w:spacing w:after="0" w:line="240" w:lineRule="auto"/>
        <w:jc w:val="both"/>
        <w:rPr>
          <w:rFonts w:ascii="Arial" w:hAnsi="Arial" w:cs="Arial"/>
          <w:szCs w:val="24"/>
        </w:rPr>
      </w:pPr>
      <w:r w:rsidRPr="00AC47B7">
        <w:rPr>
          <w:rFonts w:ascii="Arial" w:hAnsi="Arial" w:cs="Arial"/>
          <w:szCs w:val="24"/>
        </w:rPr>
        <w:t xml:space="preserve">The </w:t>
      </w:r>
      <w:r w:rsidR="00AC47B7" w:rsidRPr="00AC47B7">
        <w:rPr>
          <w:rFonts w:ascii="Arial" w:hAnsi="Arial" w:cs="Arial"/>
          <w:szCs w:val="24"/>
        </w:rPr>
        <w:t xml:space="preserve">financial context continues to be increasingly challenging and uncertain. Strategies are outlined in the MTFS as to how the budget gap </w:t>
      </w:r>
      <w:r w:rsidR="00AC47B7" w:rsidRPr="0084028F">
        <w:rPr>
          <w:rFonts w:ascii="Arial" w:hAnsi="Arial" w:cs="Arial"/>
          <w:szCs w:val="24"/>
        </w:rPr>
        <w:t>of £</w:t>
      </w:r>
      <w:r w:rsidR="0084028F" w:rsidRPr="0084028F">
        <w:rPr>
          <w:rFonts w:ascii="Arial" w:hAnsi="Arial" w:cs="Arial"/>
          <w:szCs w:val="24"/>
        </w:rPr>
        <w:t>0.619</w:t>
      </w:r>
      <w:r w:rsidR="00AC47B7" w:rsidRPr="0084028F">
        <w:rPr>
          <w:rFonts w:ascii="Arial" w:hAnsi="Arial" w:cs="Arial"/>
          <w:szCs w:val="24"/>
        </w:rPr>
        <w:t>m (2023/24) and £</w:t>
      </w:r>
      <w:r w:rsidR="0084028F" w:rsidRPr="0084028F">
        <w:rPr>
          <w:rFonts w:ascii="Arial" w:hAnsi="Arial" w:cs="Arial"/>
          <w:szCs w:val="24"/>
        </w:rPr>
        <w:t>0.732</w:t>
      </w:r>
      <w:r w:rsidR="00AC47B7" w:rsidRPr="0084028F">
        <w:rPr>
          <w:rFonts w:ascii="Arial" w:hAnsi="Arial" w:cs="Arial"/>
          <w:szCs w:val="24"/>
        </w:rPr>
        <w:t>m (2024/25) can be addressed</w:t>
      </w:r>
      <w:r w:rsidRPr="0084028F">
        <w:rPr>
          <w:rFonts w:ascii="Arial" w:hAnsi="Arial" w:cs="Arial"/>
          <w:szCs w:val="24"/>
        </w:rPr>
        <w:t xml:space="preserve">. The strategies build on the </w:t>
      </w:r>
      <w:r w:rsidR="00AC47B7" w:rsidRPr="0084028F">
        <w:rPr>
          <w:rFonts w:ascii="Arial" w:hAnsi="Arial" w:cs="Arial"/>
          <w:szCs w:val="24"/>
        </w:rPr>
        <w:t xml:space="preserve">work undertaken to date and continued exploration of </w:t>
      </w:r>
      <w:r w:rsidRPr="0084028F">
        <w:rPr>
          <w:rFonts w:ascii="Arial" w:hAnsi="Arial" w:cs="Arial"/>
          <w:szCs w:val="24"/>
        </w:rPr>
        <w:t>innovative approaches to service delivery</w:t>
      </w:r>
      <w:r w:rsidRPr="00AC47B7">
        <w:rPr>
          <w:rFonts w:ascii="Arial" w:hAnsi="Arial" w:cs="Arial"/>
          <w:szCs w:val="24"/>
        </w:rPr>
        <w:t xml:space="preserve"> as well as investing in income generating</w:t>
      </w:r>
      <w:r w:rsidR="00AC47B7" w:rsidRPr="00AC47B7">
        <w:rPr>
          <w:rFonts w:ascii="Arial" w:hAnsi="Arial" w:cs="Arial"/>
          <w:szCs w:val="24"/>
        </w:rPr>
        <w:t xml:space="preserve"> assets.</w:t>
      </w:r>
      <w:r w:rsidRPr="00AC47B7">
        <w:rPr>
          <w:rFonts w:ascii="Arial" w:hAnsi="Arial" w:cs="Arial"/>
          <w:szCs w:val="24"/>
        </w:rPr>
        <w:t xml:space="preserve"> </w:t>
      </w:r>
    </w:p>
    <w:p w14:paraId="2E5C99B7" w14:textId="77777777" w:rsidR="00046B73" w:rsidRPr="00046B73" w:rsidRDefault="00046B73" w:rsidP="003D39E5">
      <w:pPr>
        <w:pStyle w:val="ListParagraph"/>
        <w:spacing w:line="240" w:lineRule="auto"/>
        <w:jc w:val="both"/>
        <w:rPr>
          <w:rFonts w:ascii="Arial" w:hAnsi="Arial" w:cs="Arial"/>
          <w:szCs w:val="24"/>
        </w:rPr>
      </w:pPr>
    </w:p>
    <w:p w14:paraId="55A65F2F" w14:textId="77777777" w:rsidR="00444039" w:rsidRDefault="00444039" w:rsidP="003D39E5">
      <w:pPr>
        <w:pStyle w:val="ListParagraph"/>
        <w:spacing w:line="240" w:lineRule="auto"/>
        <w:jc w:val="both"/>
        <w:rPr>
          <w:rFonts w:ascii="Arial" w:hAnsi="Arial" w:cs="Arial"/>
          <w:szCs w:val="24"/>
        </w:rPr>
      </w:pPr>
    </w:p>
    <w:p w14:paraId="6A9E764C" w14:textId="77777777" w:rsidR="00444039" w:rsidRDefault="00444039" w:rsidP="003D39E5">
      <w:pPr>
        <w:pStyle w:val="ListParagraph"/>
        <w:numPr>
          <w:ilvl w:val="0"/>
          <w:numId w:val="10"/>
        </w:numPr>
        <w:tabs>
          <w:tab w:val="left" w:pos="567"/>
        </w:tabs>
        <w:spacing w:after="0" w:line="240" w:lineRule="auto"/>
        <w:jc w:val="both"/>
        <w:rPr>
          <w:rFonts w:ascii="Arial" w:hAnsi="Arial" w:cs="Arial"/>
          <w:szCs w:val="24"/>
        </w:rPr>
      </w:pPr>
      <w:r>
        <w:rPr>
          <w:rFonts w:ascii="Arial" w:hAnsi="Arial" w:cs="Arial"/>
          <w:szCs w:val="24"/>
        </w:rPr>
        <w:t xml:space="preserve">The Council will continue to keep the MTFS under review given: </w:t>
      </w:r>
    </w:p>
    <w:p w14:paraId="5C2D34D9" w14:textId="77777777" w:rsidR="00444039" w:rsidRDefault="00444039" w:rsidP="003D39E5">
      <w:pPr>
        <w:pStyle w:val="ListParagraph"/>
        <w:spacing w:after="0" w:line="240" w:lineRule="auto"/>
        <w:jc w:val="both"/>
        <w:rPr>
          <w:rFonts w:ascii="Arial" w:hAnsi="Arial" w:cs="Arial"/>
          <w:szCs w:val="24"/>
        </w:rPr>
      </w:pPr>
    </w:p>
    <w:p w14:paraId="4D51509B" w14:textId="160FD3D4" w:rsidR="00444039" w:rsidRDefault="00444039" w:rsidP="003D39E5">
      <w:pPr>
        <w:pStyle w:val="ListParagraph"/>
        <w:numPr>
          <w:ilvl w:val="1"/>
          <w:numId w:val="18"/>
        </w:numPr>
        <w:pBdr>
          <w:top w:val="single" w:sz="2" w:space="1" w:color="FFFFFF"/>
          <w:left w:val="single" w:sz="2" w:space="0" w:color="FFFFFF"/>
          <w:bottom w:val="single" w:sz="2" w:space="1" w:color="FFFFFF"/>
          <w:right w:val="single" w:sz="2" w:space="4" w:color="FFFFFF"/>
        </w:pBdr>
        <w:tabs>
          <w:tab w:val="left" w:pos="567"/>
        </w:tabs>
        <w:spacing w:after="0" w:line="240" w:lineRule="auto"/>
        <w:jc w:val="both"/>
        <w:rPr>
          <w:rFonts w:ascii="Arial" w:hAnsi="Arial" w:cs="Arial"/>
          <w:szCs w:val="24"/>
        </w:rPr>
      </w:pPr>
      <w:r>
        <w:rPr>
          <w:rFonts w:ascii="Arial" w:hAnsi="Arial" w:cs="Arial"/>
          <w:szCs w:val="24"/>
        </w:rPr>
        <w:t xml:space="preserve">the </w:t>
      </w:r>
      <w:r w:rsidR="00AC47B7" w:rsidRPr="00B003BF">
        <w:rPr>
          <w:rFonts w:ascii="Arial" w:hAnsi="Arial" w:cs="Arial"/>
          <w:szCs w:val="24"/>
        </w:rPr>
        <w:t>level of efficiency savings and income generation required to balance the budget over the medium term. The timing of the delivery of these targets will need to be closely managed and where necessary reserves utilised to meet temporary delays in transformation strategy net budget</w:t>
      </w:r>
      <w:r>
        <w:rPr>
          <w:rFonts w:ascii="Arial" w:hAnsi="Arial" w:cs="Arial"/>
          <w:szCs w:val="24"/>
        </w:rPr>
        <w:t xml:space="preserve"> reductions.</w:t>
      </w:r>
    </w:p>
    <w:p w14:paraId="438E3A1A" w14:textId="77777777" w:rsidR="00444039" w:rsidRDefault="00444039" w:rsidP="003D39E5">
      <w:pPr>
        <w:pStyle w:val="ListParagraph"/>
        <w:spacing w:after="0" w:line="240" w:lineRule="auto"/>
        <w:jc w:val="both"/>
        <w:rPr>
          <w:rFonts w:ascii="Arial" w:hAnsi="Arial" w:cs="Arial"/>
          <w:szCs w:val="24"/>
        </w:rPr>
      </w:pPr>
    </w:p>
    <w:p w14:paraId="4257D196" w14:textId="36F3FED7" w:rsidR="00444039" w:rsidRDefault="00444039" w:rsidP="003D39E5">
      <w:pPr>
        <w:pStyle w:val="ListParagraph"/>
        <w:numPr>
          <w:ilvl w:val="1"/>
          <w:numId w:val="18"/>
        </w:numPr>
        <w:pBdr>
          <w:top w:val="single" w:sz="2" w:space="1" w:color="FFFFFF"/>
          <w:left w:val="single" w:sz="2" w:space="0" w:color="FFFFFF"/>
          <w:bottom w:val="single" w:sz="2" w:space="1" w:color="FFFFFF"/>
          <w:right w:val="single" w:sz="2" w:space="4" w:color="FFFFFF"/>
        </w:pBdr>
        <w:tabs>
          <w:tab w:val="left" w:pos="567"/>
        </w:tabs>
        <w:spacing w:after="0" w:line="240" w:lineRule="auto"/>
        <w:jc w:val="both"/>
        <w:rPr>
          <w:rFonts w:ascii="Arial" w:hAnsi="Arial" w:cs="Arial"/>
          <w:szCs w:val="24"/>
        </w:rPr>
      </w:pPr>
      <w:r>
        <w:rPr>
          <w:rFonts w:ascii="Arial" w:hAnsi="Arial" w:cs="Arial"/>
          <w:szCs w:val="24"/>
        </w:rPr>
        <w:t xml:space="preserve">the </w:t>
      </w:r>
      <w:r w:rsidR="00AC47B7" w:rsidRPr="00B003BF">
        <w:rPr>
          <w:rFonts w:ascii="Arial" w:hAnsi="Arial" w:cs="Arial"/>
          <w:szCs w:val="24"/>
        </w:rPr>
        <w:t xml:space="preserve">high degree of uncertainty surrounding the changes to Government policy such as business rates retention and the fair funding review as well as the uncertainty regarding the ongoing implications of </w:t>
      </w:r>
      <w:r w:rsidR="00AC47B7">
        <w:rPr>
          <w:rFonts w:ascii="Arial" w:hAnsi="Arial" w:cs="Arial"/>
          <w:szCs w:val="24"/>
        </w:rPr>
        <w:t>Covid</w:t>
      </w:r>
      <w:r>
        <w:rPr>
          <w:rFonts w:ascii="Arial" w:hAnsi="Arial" w:cs="Arial"/>
          <w:szCs w:val="24"/>
        </w:rPr>
        <w:t>-19</w:t>
      </w:r>
      <w:r w:rsidR="00046B73">
        <w:rPr>
          <w:rFonts w:ascii="Arial" w:hAnsi="Arial" w:cs="Arial"/>
          <w:szCs w:val="24"/>
        </w:rPr>
        <w:t xml:space="preserve"> and </w:t>
      </w:r>
      <w:r w:rsidR="00386505">
        <w:rPr>
          <w:rFonts w:ascii="Arial" w:hAnsi="Arial" w:cs="Arial"/>
          <w:szCs w:val="24"/>
        </w:rPr>
        <w:t xml:space="preserve">rising levels of </w:t>
      </w:r>
      <w:r w:rsidR="00046B73">
        <w:rPr>
          <w:rFonts w:ascii="Arial" w:hAnsi="Arial" w:cs="Arial"/>
          <w:szCs w:val="24"/>
        </w:rPr>
        <w:t>inflation</w:t>
      </w:r>
      <w:r w:rsidR="00386505">
        <w:rPr>
          <w:rFonts w:ascii="Arial" w:hAnsi="Arial" w:cs="Arial"/>
          <w:szCs w:val="24"/>
        </w:rPr>
        <w:t>.</w:t>
      </w:r>
      <w:r>
        <w:rPr>
          <w:noProof/>
          <w:lang w:eastAsia="en-GB"/>
        </w:rPr>
        <w:t xml:space="preserve"> </w:t>
      </w:r>
    </w:p>
    <w:p w14:paraId="58D4B8A3" w14:textId="77777777" w:rsidR="00606CF8" w:rsidRPr="00733D1A" w:rsidRDefault="00606CF8" w:rsidP="00BF6D5D">
      <w:p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sectPr w:rsidR="00606CF8" w:rsidRPr="00733D1A" w:rsidSect="003E3AB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26C9" w14:textId="77777777" w:rsidR="00B02F8B" w:rsidRDefault="00B02F8B" w:rsidP="003E3AB0">
      <w:pPr>
        <w:spacing w:after="0" w:line="240" w:lineRule="auto"/>
      </w:pPr>
      <w:r>
        <w:separator/>
      </w:r>
    </w:p>
  </w:endnote>
  <w:endnote w:type="continuationSeparator" w:id="0">
    <w:p w14:paraId="5D56D4EA" w14:textId="77777777" w:rsidR="00B02F8B" w:rsidRDefault="00B02F8B"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093915"/>
      <w:docPartObj>
        <w:docPartGallery w:val="Page Numbers (Bottom of Page)"/>
        <w:docPartUnique/>
      </w:docPartObj>
    </w:sdtPr>
    <w:sdtEndPr>
      <w:rPr>
        <w:noProof/>
      </w:rPr>
    </w:sdtEndPr>
    <w:sdtContent>
      <w:p w14:paraId="53180E82" w14:textId="283F9B51" w:rsidR="00B02F8B" w:rsidRDefault="00B02F8B">
        <w:pPr>
          <w:pStyle w:val="Footer"/>
          <w:jc w:val="center"/>
        </w:pPr>
      </w:p>
      <w:p w14:paraId="5CF16140" w14:textId="050EEA4F" w:rsidR="00B02F8B" w:rsidRDefault="00E964F7" w:rsidP="00AB4677">
        <w:pPr>
          <w:pStyle w:val="Footer"/>
        </w:pPr>
      </w:p>
    </w:sdtContent>
  </w:sdt>
  <w:p w14:paraId="70AB49DE" w14:textId="4871D631" w:rsidR="00B02F8B" w:rsidRDefault="00B0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BE8C6" w14:textId="77777777" w:rsidR="00B02F8B" w:rsidRDefault="00B02F8B" w:rsidP="003E3AB0">
      <w:pPr>
        <w:spacing w:after="0" w:line="240" w:lineRule="auto"/>
      </w:pPr>
      <w:r>
        <w:separator/>
      </w:r>
    </w:p>
  </w:footnote>
  <w:footnote w:type="continuationSeparator" w:id="0">
    <w:p w14:paraId="543EA5B5" w14:textId="77777777" w:rsidR="00B02F8B" w:rsidRDefault="00B02F8B"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E0F3" w14:textId="77777777" w:rsidR="00B02F8B" w:rsidRDefault="00B02F8B">
    <w:pPr>
      <w:pStyle w:val="Header"/>
    </w:pPr>
    <w:r>
      <w:rPr>
        <w:noProof/>
        <w:lang w:eastAsia="en-GB"/>
      </w:rPr>
      <w:drawing>
        <wp:anchor distT="0" distB="0" distL="114300" distR="114300" simplePos="0" relativeHeight="251669504" behindDoc="1" locked="1" layoutInCell="1" allowOverlap="0" wp14:anchorId="6744A8C3" wp14:editId="4108DCA4">
          <wp:simplePos x="0" y="0"/>
          <wp:positionH relativeFrom="margin">
            <wp:posOffset>4962525</wp:posOffset>
          </wp:positionH>
          <wp:positionV relativeFrom="topMargin">
            <wp:posOffset>115570</wp:posOffset>
          </wp:positionV>
          <wp:extent cx="1496060" cy="661670"/>
          <wp:effectExtent l="0" t="0" r="8890" b="508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010"/>
    <w:multiLevelType w:val="hybridMultilevel"/>
    <w:tmpl w:val="32B0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F7915"/>
    <w:multiLevelType w:val="hybridMultilevel"/>
    <w:tmpl w:val="E192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75FC"/>
    <w:multiLevelType w:val="hybridMultilevel"/>
    <w:tmpl w:val="0F9C3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5B06D2"/>
    <w:multiLevelType w:val="hybridMultilevel"/>
    <w:tmpl w:val="D568B57A"/>
    <w:lvl w:ilvl="0" w:tplc="96920650">
      <w:start w:val="1"/>
      <w:numFmt w:val="decimal"/>
      <w:lvlText w:val="%1."/>
      <w:lvlJc w:val="left"/>
      <w:pPr>
        <w:tabs>
          <w:tab w:val="num" w:pos="567"/>
        </w:tabs>
        <w:ind w:left="567" w:hanging="567"/>
      </w:pPr>
      <w:rPr>
        <w:rFonts w:ascii="Arial" w:hAnsi="Arial" w:cs="Arial" w:hint="default"/>
        <w:b w:val="0"/>
        <w:bCs w:val="0"/>
        <w:color w:val="auto"/>
        <w:sz w:val="22"/>
        <w:szCs w:val="22"/>
      </w:rPr>
    </w:lvl>
    <w:lvl w:ilvl="1" w:tplc="D2A6AE4A">
      <w:start w:val="1"/>
      <w:numFmt w:val="bullet"/>
      <w:lvlText w:val=""/>
      <w:lvlJc w:val="left"/>
      <w:pPr>
        <w:tabs>
          <w:tab w:val="num" w:pos="1440"/>
        </w:tabs>
        <w:ind w:left="1440" w:hanging="360"/>
      </w:pPr>
      <w:rPr>
        <w:rFonts w:ascii="Symbol" w:hAnsi="Symbol" w:hint="default"/>
      </w:rPr>
    </w:lvl>
    <w:lvl w:ilvl="2" w:tplc="CF7083EC">
      <w:start w:val="1"/>
      <w:numFmt w:val="lowerRoman"/>
      <w:lvlText w:val="%3."/>
      <w:lvlJc w:val="right"/>
      <w:pPr>
        <w:tabs>
          <w:tab w:val="num" w:pos="2160"/>
        </w:tabs>
        <w:ind w:left="2160" w:hanging="180"/>
      </w:pPr>
    </w:lvl>
    <w:lvl w:ilvl="3" w:tplc="71CC2224">
      <w:start w:val="1"/>
      <w:numFmt w:val="decimal"/>
      <w:lvlText w:val="%4."/>
      <w:lvlJc w:val="left"/>
      <w:pPr>
        <w:tabs>
          <w:tab w:val="num" w:pos="2880"/>
        </w:tabs>
        <w:ind w:left="2880" w:hanging="360"/>
      </w:pPr>
    </w:lvl>
    <w:lvl w:ilvl="4" w:tplc="01FA35F6">
      <w:start w:val="1"/>
      <w:numFmt w:val="lowerLetter"/>
      <w:lvlText w:val="%5."/>
      <w:lvlJc w:val="left"/>
      <w:pPr>
        <w:tabs>
          <w:tab w:val="num" w:pos="3600"/>
        </w:tabs>
        <w:ind w:left="3600" w:hanging="360"/>
      </w:pPr>
    </w:lvl>
    <w:lvl w:ilvl="5" w:tplc="898AEB14">
      <w:start w:val="1"/>
      <w:numFmt w:val="lowerRoman"/>
      <w:lvlText w:val="%6."/>
      <w:lvlJc w:val="right"/>
      <w:pPr>
        <w:tabs>
          <w:tab w:val="num" w:pos="4320"/>
        </w:tabs>
        <w:ind w:left="4320" w:hanging="180"/>
      </w:pPr>
    </w:lvl>
    <w:lvl w:ilvl="6" w:tplc="06B473B6">
      <w:start w:val="1"/>
      <w:numFmt w:val="decimal"/>
      <w:lvlText w:val="%7."/>
      <w:lvlJc w:val="left"/>
      <w:pPr>
        <w:tabs>
          <w:tab w:val="num" w:pos="5040"/>
        </w:tabs>
        <w:ind w:left="5040" w:hanging="360"/>
      </w:pPr>
    </w:lvl>
    <w:lvl w:ilvl="7" w:tplc="6D26A292">
      <w:start w:val="1"/>
      <w:numFmt w:val="lowerLetter"/>
      <w:lvlText w:val="%8."/>
      <w:lvlJc w:val="left"/>
      <w:pPr>
        <w:tabs>
          <w:tab w:val="num" w:pos="5760"/>
        </w:tabs>
        <w:ind w:left="5760" w:hanging="360"/>
      </w:pPr>
    </w:lvl>
    <w:lvl w:ilvl="8" w:tplc="69183512">
      <w:start w:val="1"/>
      <w:numFmt w:val="lowerRoman"/>
      <w:lvlText w:val="%9."/>
      <w:lvlJc w:val="right"/>
      <w:pPr>
        <w:tabs>
          <w:tab w:val="num" w:pos="6480"/>
        </w:tabs>
        <w:ind w:left="6480" w:hanging="180"/>
      </w:pPr>
    </w:lvl>
  </w:abstractNum>
  <w:abstractNum w:abstractNumId="4" w15:restartNumberingAfterBreak="0">
    <w:nsid w:val="19982389"/>
    <w:multiLevelType w:val="hybridMultilevel"/>
    <w:tmpl w:val="7116F7E8"/>
    <w:lvl w:ilvl="0" w:tplc="8B027476">
      <w:numFmt w:val="bullet"/>
      <w:lvlText w:val="-"/>
      <w:lvlJc w:val="left"/>
      <w:pPr>
        <w:ind w:left="720" w:hanging="360"/>
      </w:pPr>
      <w:rPr>
        <w:rFonts w:ascii="Verdana" w:eastAsia="Calibri"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591B78"/>
    <w:multiLevelType w:val="hybridMultilevel"/>
    <w:tmpl w:val="C4881126"/>
    <w:lvl w:ilvl="0" w:tplc="46BC1A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94A1D"/>
    <w:multiLevelType w:val="hybridMultilevel"/>
    <w:tmpl w:val="1876DC30"/>
    <w:lvl w:ilvl="0" w:tplc="C5EC7534">
      <w:start w:val="1"/>
      <w:numFmt w:val="bullet"/>
      <w:lvlText w:val=""/>
      <w:lvlJc w:val="left"/>
      <w:pPr>
        <w:ind w:left="108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A8567E"/>
    <w:multiLevelType w:val="hybridMultilevel"/>
    <w:tmpl w:val="EDE8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9" w15:restartNumberingAfterBreak="0">
    <w:nsid w:val="317C2E77"/>
    <w:multiLevelType w:val="hybridMultilevel"/>
    <w:tmpl w:val="775EDF2A"/>
    <w:lvl w:ilvl="0" w:tplc="08090001">
      <w:start w:val="1"/>
      <w:numFmt w:val="bullet"/>
      <w:lvlText w:val=""/>
      <w:lvlJc w:val="left"/>
      <w:pPr>
        <w:tabs>
          <w:tab w:val="num" w:pos="1134"/>
        </w:tabs>
        <w:ind w:left="1134" w:hanging="567"/>
      </w:pPr>
      <w:rPr>
        <w:rFonts w:ascii="Symbol" w:hAnsi="Symbol" w:hint="default"/>
        <w:b w:val="0"/>
        <w:bCs w:val="0"/>
        <w:color w:val="auto"/>
        <w:sz w:val="22"/>
        <w:szCs w:val="22"/>
      </w:rPr>
    </w:lvl>
    <w:lvl w:ilvl="1" w:tplc="D2A6AE4A">
      <w:start w:val="1"/>
      <w:numFmt w:val="bullet"/>
      <w:lvlText w:val=""/>
      <w:lvlJc w:val="left"/>
      <w:pPr>
        <w:tabs>
          <w:tab w:val="num" w:pos="2007"/>
        </w:tabs>
        <w:ind w:left="2007" w:hanging="360"/>
      </w:pPr>
      <w:rPr>
        <w:rFonts w:ascii="Symbol" w:hAnsi="Symbol" w:hint="default"/>
      </w:rPr>
    </w:lvl>
    <w:lvl w:ilvl="2" w:tplc="CF7083EC">
      <w:start w:val="1"/>
      <w:numFmt w:val="lowerRoman"/>
      <w:lvlText w:val="%3."/>
      <w:lvlJc w:val="right"/>
      <w:pPr>
        <w:tabs>
          <w:tab w:val="num" w:pos="2727"/>
        </w:tabs>
        <w:ind w:left="2727" w:hanging="180"/>
      </w:pPr>
    </w:lvl>
    <w:lvl w:ilvl="3" w:tplc="71CC2224" w:tentative="1">
      <w:start w:val="1"/>
      <w:numFmt w:val="decimal"/>
      <w:lvlText w:val="%4."/>
      <w:lvlJc w:val="left"/>
      <w:pPr>
        <w:tabs>
          <w:tab w:val="num" w:pos="3447"/>
        </w:tabs>
        <w:ind w:left="3447" w:hanging="360"/>
      </w:pPr>
    </w:lvl>
    <w:lvl w:ilvl="4" w:tplc="01FA35F6" w:tentative="1">
      <w:start w:val="1"/>
      <w:numFmt w:val="lowerLetter"/>
      <w:lvlText w:val="%5."/>
      <w:lvlJc w:val="left"/>
      <w:pPr>
        <w:tabs>
          <w:tab w:val="num" w:pos="4167"/>
        </w:tabs>
        <w:ind w:left="4167" w:hanging="360"/>
      </w:pPr>
    </w:lvl>
    <w:lvl w:ilvl="5" w:tplc="898AEB14" w:tentative="1">
      <w:start w:val="1"/>
      <w:numFmt w:val="lowerRoman"/>
      <w:lvlText w:val="%6."/>
      <w:lvlJc w:val="right"/>
      <w:pPr>
        <w:tabs>
          <w:tab w:val="num" w:pos="4887"/>
        </w:tabs>
        <w:ind w:left="4887" w:hanging="180"/>
      </w:pPr>
    </w:lvl>
    <w:lvl w:ilvl="6" w:tplc="06B473B6" w:tentative="1">
      <w:start w:val="1"/>
      <w:numFmt w:val="decimal"/>
      <w:lvlText w:val="%7."/>
      <w:lvlJc w:val="left"/>
      <w:pPr>
        <w:tabs>
          <w:tab w:val="num" w:pos="5607"/>
        </w:tabs>
        <w:ind w:left="5607" w:hanging="360"/>
      </w:pPr>
    </w:lvl>
    <w:lvl w:ilvl="7" w:tplc="6D26A292" w:tentative="1">
      <w:start w:val="1"/>
      <w:numFmt w:val="lowerLetter"/>
      <w:lvlText w:val="%8."/>
      <w:lvlJc w:val="left"/>
      <w:pPr>
        <w:tabs>
          <w:tab w:val="num" w:pos="6327"/>
        </w:tabs>
        <w:ind w:left="6327" w:hanging="360"/>
      </w:pPr>
    </w:lvl>
    <w:lvl w:ilvl="8" w:tplc="69183512" w:tentative="1">
      <w:start w:val="1"/>
      <w:numFmt w:val="lowerRoman"/>
      <w:lvlText w:val="%9."/>
      <w:lvlJc w:val="right"/>
      <w:pPr>
        <w:tabs>
          <w:tab w:val="num" w:pos="7047"/>
        </w:tabs>
        <w:ind w:left="7047" w:hanging="180"/>
      </w:pPr>
    </w:lvl>
  </w:abstractNum>
  <w:abstractNum w:abstractNumId="10" w15:restartNumberingAfterBreak="0">
    <w:nsid w:val="35845775"/>
    <w:multiLevelType w:val="hybridMultilevel"/>
    <w:tmpl w:val="D33E86BE"/>
    <w:lvl w:ilvl="0" w:tplc="FFFFFFFF">
      <w:start w:val="1"/>
      <w:numFmt w:val="bullet"/>
      <w:lvlText w:val=""/>
      <w:lvlJc w:val="left"/>
      <w:pPr>
        <w:tabs>
          <w:tab w:val="num" w:pos="1134"/>
        </w:tabs>
        <w:ind w:left="1134" w:hanging="567"/>
      </w:pPr>
      <w:rPr>
        <w:rFonts w:ascii="Symbol" w:hAnsi="Symbol" w:hint="default"/>
        <w:b w:val="0"/>
        <w:i w:val="0"/>
        <w:iCs/>
      </w:rPr>
    </w:lvl>
    <w:lvl w:ilvl="1" w:tplc="FFFFFFFF">
      <w:start w:val="1"/>
      <w:numFmt w:val="bullet"/>
      <w:lvlText w:val=""/>
      <w:lvlJc w:val="left"/>
      <w:pPr>
        <w:tabs>
          <w:tab w:val="num" w:pos="2007"/>
        </w:tabs>
        <w:ind w:left="2007" w:hanging="360"/>
      </w:pPr>
      <w:rPr>
        <w:rFonts w:ascii="Symbol" w:hAnsi="Symbol" w:hint="default"/>
      </w:r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11" w15:restartNumberingAfterBreak="0">
    <w:nsid w:val="3A03555E"/>
    <w:multiLevelType w:val="hybridMultilevel"/>
    <w:tmpl w:val="A2DA19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F95282"/>
    <w:multiLevelType w:val="hybridMultilevel"/>
    <w:tmpl w:val="054694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D7C772B"/>
    <w:multiLevelType w:val="hybridMultilevel"/>
    <w:tmpl w:val="50CE68D2"/>
    <w:lvl w:ilvl="0" w:tplc="C1E2B6C8">
      <w:start w:val="1"/>
      <w:numFmt w:val="decimal"/>
      <w:lvlText w:val="%1."/>
      <w:lvlJc w:val="left"/>
      <w:pPr>
        <w:tabs>
          <w:tab w:val="num" w:pos="720"/>
        </w:tabs>
        <w:ind w:left="720" w:hanging="360"/>
      </w:pPr>
      <w:rPr>
        <w:b/>
        <w:bCs/>
      </w:rPr>
    </w:lvl>
    <w:lvl w:ilvl="1" w:tplc="D74AD070">
      <w:start w:val="1"/>
      <w:numFmt w:val="bullet"/>
      <w:lvlText w:val="o"/>
      <w:lvlJc w:val="left"/>
      <w:pPr>
        <w:tabs>
          <w:tab w:val="num" w:pos="1440"/>
        </w:tabs>
        <w:ind w:left="1440" w:hanging="360"/>
      </w:pPr>
      <w:rPr>
        <w:rFonts w:ascii="Courier New" w:hAnsi="Courier New" w:cs="Courier New" w:hint="default"/>
      </w:rPr>
    </w:lvl>
    <w:lvl w:ilvl="2" w:tplc="FD2E5616">
      <w:start w:val="1"/>
      <w:numFmt w:val="bullet"/>
      <w:lvlText w:val=""/>
      <w:lvlJc w:val="left"/>
      <w:pPr>
        <w:tabs>
          <w:tab w:val="num" w:pos="2160"/>
        </w:tabs>
        <w:ind w:left="2160" w:hanging="360"/>
      </w:pPr>
      <w:rPr>
        <w:rFonts w:ascii="Wingdings" w:hAnsi="Wingdings" w:hint="default"/>
      </w:rPr>
    </w:lvl>
    <w:lvl w:ilvl="3" w:tplc="E27AE5C4">
      <w:start w:val="1"/>
      <w:numFmt w:val="bullet"/>
      <w:lvlText w:val=""/>
      <w:lvlJc w:val="left"/>
      <w:pPr>
        <w:tabs>
          <w:tab w:val="num" w:pos="2880"/>
        </w:tabs>
        <w:ind w:left="2880" w:hanging="360"/>
      </w:pPr>
      <w:rPr>
        <w:rFonts w:ascii="Symbol" w:hAnsi="Symbol" w:hint="default"/>
      </w:rPr>
    </w:lvl>
    <w:lvl w:ilvl="4" w:tplc="278C6B18">
      <w:start w:val="1"/>
      <w:numFmt w:val="bullet"/>
      <w:lvlText w:val="o"/>
      <w:lvlJc w:val="left"/>
      <w:pPr>
        <w:tabs>
          <w:tab w:val="num" w:pos="3600"/>
        </w:tabs>
        <w:ind w:left="3600" w:hanging="360"/>
      </w:pPr>
      <w:rPr>
        <w:rFonts w:ascii="Courier New" w:hAnsi="Courier New" w:cs="Courier New" w:hint="default"/>
      </w:rPr>
    </w:lvl>
    <w:lvl w:ilvl="5" w:tplc="EBE096C8">
      <w:start w:val="1"/>
      <w:numFmt w:val="bullet"/>
      <w:lvlText w:val=""/>
      <w:lvlJc w:val="left"/>
      <w:pPr>
        <w:tabs>
          <w:tab w:val="num" w:pos="4320"/>
        </w:tabs>
        <w:ind w:left="4320" w:hanging="360"/>
      </w:pPr>
      <w:rPr>
        <w:rFonts w:ascii="Wingdings" w:hAnsi="Wingdings" w:hint="default"/>
      </w:rPr>
    </w:lvl>
    <w:lvl w:ilvl="6" w:tplc="DD22119A">
      <w:start w:val="1"/>
      <w:numFmt w:val="bullet"/>
      <w:lvlText w:val=""/>
      <w:lvlJc w:val="left"/>
      <w:pPr>
        <w:tabs>
          <w:tab w:val="num" w:pos="5040"/>
        </w:tabs>
        <w:ind w:left="5040" w:hanging="360"/>
      </w:pPr>
      <w:rPr>
        <w:rFonts w:ascii="Symbol" w:hAnsi="Symbol" w:hint="default"/>
      </w:rPr>
    </w:lvl>
    <w:lvl w:ilvl="7" w:tplc="8A6236F6">
      <w:start w:val="1"/>
      <w:numFmt w:val="bullet"/>
      <w:lvlText w:val="o"/>
      <w:lvlJc w:val="left"/>
      <w:pPr>
        <w:tabs>
          <w:tab w:val="num" w:pos="5760"/>
        </w:tabs>
        <w:ind w:left="5760" w:hanging="360"/>
      </w:pPr>
      <w:rPr>
        <w:rFonts w:ascii="Courier New" w:hAnsi="Courier New" w:cs="Courier New" w:hint="default"/>
      </w:rPr>
    </w:lvl>
    <w:lvl w:ilvl="8" w:tplc="0E669CF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B5418"/>
    <w:multiLevelType w:val="hybridMultilevel"/>
    <w:tmpl w:val="D88C1A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C919AB"/>
    <w:multiLevelType w:val="hybridMultilevel"/>
    <w:tmpl w:val="BAA86362"/>
    <w:lvl w:ilvl="0" w:tplc="96920650">
      <w:start w:val="1"/>
      <w:numFmt w:val="decimal"/>
      <w:lvlText w:val="%1."/>
      <w:lvlJc w:val="left"/>
      <w:pPr>
        <w:tabs>
          <w:tab w:val="num" w:pos="567"/>
        </w:tabs>
        <w:ind w:left="567" w:hanging="567"/>
      </w:pPr>
      <w:rPr>
        <w:rFonts w:ascii="Arial" w:hAnsi="Arial" w:cs="Arial" w:hint="default"/>
        <w:b w:val="0"/>
        <w:bCs w:val="0"/>
        <w:color w:val="auto"/>
        <w:sz w:val="22"/>
        <w:szCs w:val="22"/>
      </w:rPr>
    </w:lvl>
    <w:lvl w:ilvl="1" w:tplc="C5EC7534">
      <w:start w:val="1"/>
      <w:numFmt w:val="bullet"/>
      <w:lvlText w:val=""/>
      <w:lvlJc w:val="left"/>
      <w:pPr>
        <w:tabs>
          <w:tab w:val="num" w:pos="1440"/>
        </w:tabs>
        <w:ind w:left="1440" w:hanging="360"/>
      </w:pPr>
      <w:rPr>
        <w:rFonts w:ascii="Symbol" w:hAnsi="Symbol" w:hint="default"/>
        <w:color w:val="7FC444"/>
      </w:rPr>
    </w:lvl>
    <w:lvl w:ilvl="2" w:tplc="CF7083EC">
      <w:start w:val="1"/>
      <w:numFmt w:val="lowerRoman"/>
      <w:lvlText w:val="%3."/>
      <w:lvlJc w:val="right"/>
      <w:pPr>
        <w:tabs>
          <w:tab w:val="num" w:pos="2160"/>
        </w:tabs>
        <w:ind w:left="2160" w:hanging="180"/>
      </w:pPr>
    </w:lvl>
    <w:lvl w:ilvl="3" w:tplc="71CC2224">
      <w:start w:val="1"/>
      <w:numFmt w:val="decimal"/>
      <w:lvlText w:val="%4."/>
      <w:lvlJc w:val="left"/>
      <w:pPr>
        <w:tabs>
          <w:tab w:val="num" w:pos="2880"/>
        </w:tabs>
        <w:ind w:left="2880" w:hanging="360"/>
      </w:pPr>
    </w:lvl>
    <w:lvl w:ilvl="4" w:tplc="01FA35F6">
      <w:start w:val="1"/>
      <w:numFmt w:val="lowerLetter"/>
      <w:lvlText w:val="%5."/>
      <w:lvlJc w:val="left"/>
      <w:pPr>
        <w:tabs>
          <w:tab w:val="num" w:pos="3600"/>
        </w:tabs>
        <w:ind w:left="3600" w:hanging="360"/>
      </w:pPr>
    </w:lvl>
    <w:lvl w:ilvl="5" w:tplc="898AEB14">
      <w:start w:val="1"/>
      <w:numFmt w:val="lowerRoman"/>
      <w:lvlText w:val="%6."/>
      <w:lvlJc w:val="right"/>
      <w:pPr>
        <w:tabs>
          <w:tab w:val="num" w:pos="4320"/>
        </w:tabs>
        <w:ind w:left="4320" w:hanging="180"/>
      </w:pPr>
    </w:lvl>
    <w:lvl w:ilvl="6" w:tplc="06B473B6">
      <w:start w:val="1"/>
      <w:numFmt w:val="decimal"/>
      <w:lvlText w:val="%7."/>
      <w:lvlJc w:val="left"/>
      <w:pPr>
        <w:tabs>
          <w:tab w:val="num" w:pos="5040"/>
        </w:tabs>
        <w:ind w:left="5040" w:hanging="360"/>
      </w:pPr>
    </w:lvl>
    <w:lvl w:ilvl="7" w:tplc="6D26A292">
      <w:start w:val="1"/>
      <w:numFmt w:val="lowerLetter"/>
      <w:lvlText w:val="%8."/>
      <w:lvlJc w:val="left"/>
      <w:pPr>
        <w:tabs>
          <w:tab w:val="num" w:pos="5760"/>
        </w:tabs>
        <w:ind w:left="5760" w:hanging="360"/>
      </w:pPr>
    </w:lvl>
    <w:lvl w:ilvl="8" w:tplc="69183512">
      <w:start w:val="1"/>
      <w:numFmt w:val="lowerRoman"/>
      <w:lvlText w:val="%9."/>
      <w:lvlJc w:val="right"/>
      <w:pPr>
        <w:tabs>
          <w:tab w:val="num" w:pos="6480"/>
        </w:tabs>
        <w:ind w:left="6480" w:hanging="180"/>
      </w:pPr>
    </w:lvl>
  </w:abstractNum>
  <w:abstractNum w:abstractNumId="17" w15:restartNumberingAfterBreak="0">
    <w:nsid w:val="46E208C9"/>
    <w:multiLevelType w:val="hybridMultilevel"/>
    <w:tmpl w:val="6DC249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4466A"/>
    <w:multiLevelType w:val="hybridMultilevel"/>
    <w:tmpl w:val="4202D7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BAB2DBA"/>
    <w:multiLevelType w:val="hybridMultilevel"/>
    <w:tmpl w:val="739CBB30"/>
    <w:lvl w:ilvl="0" w:tplc="0809000F">
      <w:start w:val="29"/>
      <w:numFmt w:val="decimal"/>
      <w:lvlText w:val="%1."/>
      <w:lvlJc w:val="left"/>
      <w:pPr>
        <w:ind w:left="-1170" w:hanging="360"/>
      </w:pPr>
      <w:rPr>
        <w:rFonts w:hint="default"/>
      </w:rPr>
    </w:lvl>
    <w:lvl w:ilvl="1" w:tplc="08090019">
      <w:start w:val="1"/>
      <w:numFmt w:val="lowerLetter"/>
      <w:lvlText w:val="%2."/>
      <w:lvlJc w:val="left"/>
      <w:pPr>
        <w:ind w:left="-450" w:hanging="360"/>
      </w:pPr>
    </w:lvl>
    <w:lvl w:ilvl="2" w:tplc="0809001B">
      <w:start w:val="1"/>
      <w:numFmt w:val="lowerRoman"/>
      <w:lvlText w:val="%3."/>
      <w:lvlJc w:val="right"/>
      <w:pPr>
        <w:ind w:left="270" w:hanging="180"/>
      </w:pPr>
    </w:lvl>
    <w:lvl w:ilvl="3" w:tplc="0809000F">
      <w:start w:val="1"/>
      <w:numFmt w:val="decimal"/>
      <w:lvlText w:val="%4."/>
      <w:lvlJc w:val="left"/>
      <w:pPr>
        <w:ind w:left="990" w:hanging="360"/>
      </w:pPr>
    </w:lvl>
    <w:lvl w:ilvl="4" w:tplc="08090019" w:tentative="1">
      <w:start w:val="1"/>
      <w:numFmt w:val="lowerLetter"/>
      <w:lvlText w:val="%5."/>
      <w:lvlJc w:val="left"/>
      <w:pPr>
        <w:ind w:left="1710" w:hanging="360"/>
      </w:pPr>
    </w:lvl>
    <w:lvl w:ilvl="5" w:tplc="0809001B" w:tentative="1">
      <w:start w:val="1"/>
      <w:numFmt w:val="lowerRoman"/>
      <w:lvlText w:val="%6."/>
      <w:lvlJc w:val="right"/>
      <w:pPr>
        <w:ind w:left="2430" w:hanging="180"/>
      </w:pPr>
    </w:lvl>
    <w:lvl w:ilvl="6" w:tplc="0809000F" w:tentative="1">
      <w:start w:val="1"/>
      <w:numFmt w:val="decimal"/>
      <w:lvlText w:val="%7."/>
      <w:lvlJc w:val="left"/>
      <w:pPr>
        <w:ind w:left="3150" w:hanging="360"/>
      </w:pPr>
    </w:lvl>
    <w:lvl w:ilvl="7" w:tplc="08090019" w:tentative="1">
      <w:start w:val="1"/>
      <w:numFmt w:val="lowerLetter"/>
      <w:lvlText w:val="%8."/>
      <w:lvlJc w:val="left"/>
      <w:pPr>
        <w:ind w:left="3870" w:hanging="360"/>
      </w:pPr>
    </w:lvl>
    <w:lvl w:ilvl="8" w:tplc="0809001B" w:tentative="1">
      <w:start w:val="1"/>
      <w:numFmt w:val="lowerRoman"/>
      <w:lvlText w:val="%9."/>
      <w:lvlJc w:val="right"/>
      <w:pPr>
        <w:ind w:left="4590" w:hanging="180"/>
      </w:pPr>
    </w:lvl>
  </w:abstractNum>
  <w:abstractNum w:abstractNumId="20"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93B9B"/>
    <w:multiLevelType w:val="hybridMultilevel"/>
    <w:tmpl w:val="DCB0E082"/>
    <w:lvl w:ilvl="0" w:tplc="08090001">
      <w:start w:val="1"/>
      <w:numFmt w:val="bullet"/>
      <w:lvlText w:val=""/>
      <w:lvlJc w:val="left"/>
      <w:pPr>
        <w:tabs>
          <w:tab w:val="num" w:pos="1287"/>
        </w:tabs>
        <w:ind w:left="1287" w:hanging="567"/>
      </w:pPr>
      <w:rPr>
        <w:rFonts w:ascii="Symbol" w:hAnsi="Symbol" w:hint="default"/>
        <w:b w:val="0"/>
        <w:bCs w:val="0"/>
        <w:color w:val="auto"/>
        <w:sz w:val="22"/>
        <w:szCs w:val="22"/>
      </w:rPr>
    </w:lvl>
    <w:lvl w:ilvl="1" w:tplc="D2A6AE4A">
      <w:start w:val="1"/>
      <w:numFmt w:val="bullet"/>
      <w:lvlText w:val=""/>
      <w:lvlJc w:val="left"/>
      <w:pPr>
        <w:tabs>
          <w:tab w:val="num" w:pos="2160"/>
        </w:tabs>
        <w:ind w:left="2160" w:hanging="360"/>
      </w:pPr>
      <w:rPr>
        <w:rFonts w:ascii="Symbol" w:hAnsi="Symbol" w:hint="default"/>
      </w:rPr>
    </w:lvl>
    <w:lvl w:ilvl="2" w:tplc="CF7083EC">
      <w:start w:val="1"/>
      <w:numFmt w:val="lowerRoman"/>
      <w:lvlText w:val="%3."/>
      <w:lvlJc w:val="right"/>
      <w:pPr>
        <w:tabs>
          <w:tab w:val="num" w:pos="2880"/>
        </w:tabs>
        <w:ind w:left="2880" w:hanging="180"/>
      </w:pPr>
    </w:lvl>
    <w:lvl w:ilvl="3" w:tplc="71CC2224">
      <w:start w:val="1"/>
      <w:numFmt w:val="decimal"/>
      <w:lvlText w:val="%4."/>
      <w:lvlJc w:val="left"/>
      <w:pPr>
        <w:tabs>
          <w:tab w:val="num" w:pos="3600"/>
        </w:tabs>
        <w:ind w:left="3600" w:hanging="360"/>
      </w:pPr>
    </w:lvl>
    <w:lvl w:ilvl="4" w:tplc="01FA35F6">
      <w:start w:val="1"/>
      <w:numFmt w:val="lowerLetter"/>
      <w:lvlText w:val="%5."/>
      <w:lvlJc w:val="left"/>
      <w:pPr>
        <w:tabs>
          <w:tab w:val="num" w:pos="4320"/>
        </w:tabs>
        <w:ind w:left="4320" w:hanging="360"/>
      </w:pPr>
    </w:lvl>
    <w:lvl w:ilvl="5" w:tplc="898AEB14">
      <w:start w:val="1"/>
      <w:numFmt w:val="lowerRoman"/>
      <w:lvlText w:val="%6."/>
      <w:lvlJc w:val="right"/>
      <w:pPr>
        <w:tabs>
          <w:tab w:val="num" w:pos="5040"/>
        </w:tabs>
        <w:ind w:left="5040" w:hanging="180"/>
      </w:pPr>
    </w:lvl>
    <w:lvl w:ilvl="6" w:tplc="06B473B6">
      <w:start w:val="1"/>
      <w:numFmt w:val="decimal"/>
      <w:lvlText w:val="%7."/>
      <w:lvlJc w:val="left"/>
      <w:pPr>
        <w:tabs>
          <w:tab w:val="num" w:pos="5760"/>
        </w:tabs>
        <w:ind w:left="5760" w:hanging="360"/>
      </w:pPr>
    </w:lvl>
    <w:lvl w:ilvl="7" w:tplc="6D26A292">
      <w:start w:val="1"/>
      <w:numFmt w:val="lowerLetter"/>
      <w:lvlText w:val="%8."/>
      <w:lvlJc w:val="left"/>
      <w:pPr>
        <w:tabs>
          <w:tab w:val="num" w:pos="6480"/>
        </w:tabs>
        <w:ind w:left="6480" w:hanging="360"/>
      </w:pPr>
    </w:lvl>
    <w:lvl w:ilvl="8" w:tplc="69183512">
      <w:start w:val="1"/>
      <w:numFmt w:val="lowerRoman"/>
      <w:lvlText w:val="%9."/>
      <w:lvlJc w:val="right"/>
      <w:pPr>
        <w:tabs>
          <w:tab w:val="num" w:pos="7200"/>
        </w:tabs>
        <w:ind w:left="7200" w:hanging="180"/>
      </w:pPr>
    </w:lvl>
  </w:abstractNum>
  <w:abstractNum w:abstractNumId="22"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E81725"/>
    <w:multiLevelType w:val="hybridMultilevel"/>
    <w:tmpl w:val="1AF6C7F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25" w15:restartNumberingAfterBreak="0">
    <w:nsid w:val="60E6139D"/>
    <w:multiLevelType w:val="hybridMultilevel"/>
    <w:tmpl w:val="6956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6129F"/>
    <w:multiLevelType w:val="hybridMultilevel"/>
    <w:tmpl w:val="3B7A366A"/>
    <w:lvl w:ilvl="0" w:tplc="C5EC7534">
      <w:start w:val="1"/>
      <w:numFmt w:val="bullet"/>
      <w:lvlText w:val=""/>
      <w:lvlJc w:val="left"/>
      <w:pPr>
        <w:ind w:left="360" w:hanging="360"/>
      </w:pPr>
      <w:rPr>
        <w:rFonts w:ascii="Symbol" w:hAnsi="Symbol" w:hint="default"/>
        <w:color w:val="7FC44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7DF21B2"/>
    <w:multiLevelType w:val="hybridMultilevel"/>
    <w:tmpl w:val="E3D64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00AED"/>
    <w:multiLevelType w:val="hybridMultilevel"/>
    <w:tmpl w:val="5B3C8114"/>
    <w:lvl w:ilvl="0" w:tplc="5D502A96">
      <w:start w:val="1"/>
      <w:numFmt w:val="decimal"/>
      <w:lvlText w:val="%1."/>
      <w:lvlJc w:val="left"/>
      <w:pPr>
        <w:ind w:left="643" w:hanging="360"/>
      </w:pPr>
      <w:rPr>
        <w:rFonts w:ascii="Arial" w:hAnsi="Arial" w:cs="Arial" w:hint="default"/>
        <w:b w:val="0"/>
        <w:bCs/>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981066"/>
    <w:multiLevelType w:val="hybridMultilevel"/>
    <w:tmpl w:val="29A03522"/>
    <w:lvl w:ilvl="0" w:tplc="C5EC7534">
      <w:start w:val="1"/>
      <w:numFmt w:val="bullet"/>
      <w:lvlText w:val=""/>
      <w:lvlJc w:val="left"/>
      <w:pPr>
        <w:ind w:left="108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2E515B5"/>
    <w:multiLevelType w:val="hybridMultilevel"/>
    <w:tmpl w:val="E2BCEE70"/>
    <w:lvl w:ilvl="0" w:tplc="C5EC7534">
      <w:start w:val="1"/>
      <w:numFmt w:val="bullet"/>
      <w:lvlText w:val=""/>
      <w:lvlJc w:val="left"/>
      <w:pPr>
        <w:tabs>
          <w:tab w:val="num" w:pos="1287"/>
        </w:tabs>
        <w:ind w:left="1287" w:hanging="567"/>
      </w:pPr>
      <w:rPr>
        <w:rFonts w:ascii="Symbol" w:hAnsi="Symbol" w:hint="default"/>
        <w:b w:val="0"/>
        <w:bCs w:val="0"/>
        <w:color w:val="7FC444"/>
        <w:sz w:val="22"/>
        <w:szCs w:val="22"/>
      </w:rPr>
    </w:lvl>
    <w:lvl w:ilvl="1" w:tplc="D2A6AE4A">
      <w:start w:val="1"/>
      <w:numFmt w:val="bullet"/>
      <w:lvlText w:val=""/>
      <w:lvlJc w:val="left"/>
      <w:pPr>
        <w:tabs>
          <w:tab w:val="num" w:pos="2160"/>
        </w:tabs>
        <w:ind w:left="2160" w:hanging="360"/>
      </w:pPr>
      <w:rPr>
        <w:rFonts w:ascii="Symbol" w:hAnsi="Symbol" w:hint="default"/>
      </w:rPr>
    </w:lvl>
    <w:lvl w:ilvl="2" w:tplc="CF7083EC">
      <w:start w:val="1"/>
      <w:numFmt w:val="lowerRoman"/>
      <w:lvlText w:val="%3."/>
      <w:lvlJc w:val="right"/>
      <w:pPr>
        <w:tabs>
          <w:tab w:val="num" w:pos="2880"/>
        </w:tabs>
        <w:ind w:left="2880" w:hanging="180"/>
      </w:pPr>
    </w:lvl>
    <w:lvl w:ilvl="3" w:tplc="71CC2224">
      <w:start w:val="1"/>
      <w:numFmt w:val="decimal"/>
      <w:lvlText w:val="%4."/>
      <w:lvlJc w:val="left"/>
      <w:pPr>
        <w:tabs>
          <w:tab w:val="num" w:pos="3600"/>
        </w:tabs>
        <w:ind w:left="3600" w:hanging="360"/>
      </w:pPr>
    </w:lvl>
    <w:lvl w:ilvl="4" w:tplc="01FA35F6">
      <w:start w:val="1"/>
      <w:numFmt w:val="lowerLetter"/>
      <w:lvlText w:val="%5."/>
      <w:lvlJc w:val="left"/>
      <w:pPr>
        <w:tabs>
          <w:tab w:val="num" w:pos="4320"/>
        </w:tabs>
        <w:ind w:left="4320" w:hanging="360"/>
      </w:pPr>
    </w:lvl>
    <w:lvl w:ilvl="5" w:tplc="898AEB14">
      <w:start w:val="1"/>
      <w:numFmt w:val="lowerRoman"/>
      <w:lvlText w:val="%6."/>
      <w:lvlJc w:val="right"/>
      <w:pPr>
        <w:tabs>
          <w:tab w:val="num" w:pos="5040"/>
        </w:tabs>
        <w:ind w:left="5040" w:hanging="180"/>
      </w:pPr>
    </w:lvl>
    <w:lvl w:ilvl="6" w:tplc="06B473B6">
      <w:start w:val="1"/>
      <w:numFmt w:val="decimal"/>
      <w:lvlText w:val="%7."/>
      <w:lvlJc w:val="left"/>
      <w:pPr>
        <w:tabs>
          <w:tab w:val="num" w:pos="5760"/>
        </w:tabs>
        <w:ind w:left="5760" w:hanging="360"/>
      </w:pPr>
    </w:lvl>
    <w:lvl w:ilvl="7" w:tplc="6D26A292">
      <w:start w:val="1"/>
      <w:numFmt w:val="lowerLetter"/>
      <w:lvlText w:val="%8."/>
      <w:lvlJc w:val="left"/>
      <w:pPr>
        <w:tabs>
          <w:tab w:val="num" w:pos="6480"/>
        </w:tabs>
        <w:ind w:left="6480" w:hanging="360"/>
      </w:pPr>
    </w:lvl>
    <w:lvl w:ilvl="8" w:tplc="69183512">
      <w:start w:val="1"/>
      <w:numFmt w:val="lowerRoman"/>
      <w:lvlText w:val="%9."/>
      <w:lvlJc w:val="right"/>
      <w:pPr>
        <w:tabs>
          <w:tab w:val="num" w:pos="7200"/>
        </w:tabs>
        <w:ind w:left="7200" w:hanging="180"/>
      </w:pPr>
    </w:lvl>
  </w:abstractNum>
  <w:abstractNum w:abstractNumId="32" w15:restartNumberingAfterBreak="0">
    <w:nsid w:val="7801037A"/>
    <w:multiLevelType w:val="hybridMultilevel"/>
    <w:tmpl w:val="112064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BD743A"/>
    <w:multiLevelType w:val="hybridMultilevel"/>
    <w:tmpl w:val="5D94539C"/>
    <w:lvl w:ilvl="0" w:tplc="08090001">
      <w:start w:val="1"/>
      <w:numFmt w:val="bullet"/>
      <w:lvlText w:val=""/>
      <w:lvlJc w:val="left"/>
      <w:pPr>
        <w:tabs>
          <w:tab w:val="num" w:pos="1134"/>
        </w:tabs>
        <w:ind w:left="1134" w:hanging="567"/>
      </w:pPr>
      <w:rPr>
        <w:rFonts w:ascii="Symbol" w:hAnsi="Symbol" w:hint="default"/>
        <w:b w:val="0"/>
        <w:bCs w:val="0"/>
        <w:color w:val="auto"/>
        <w:sz w:val="22"/>
        <w:szCs w:val="22"/>
      </w:rPr>
    </w:lvl>
    <w:lvl w:ilvl="1" w:tplc="D2A6AE4A">
      <w:start w:val="1"/>
      <w:numFmt w:val="bullet"/>
      <w:lvlText w:val=""/>
      <w:lvlJc w:val="left"/>
      <w:pPr>
        <w:tabs>
          <w:tab w:val="num" w:pos="2007"/>
        </w:tabs>
        <w:ind w:left="2007" w:hanging="360"/>
      </w:pPr>
      <w:rPr>
        <w:rFonts w:ascii="Symbol" w:hAnsi="Symbol" w:hint="default"/>
      </w:rPr>
    </w:lvl>
    <w:lvl w:ilvl="2" w:tplc="CF7083EC">
      <w:start w:val="1"/>
      <w:numFmt w:val="lowerRoman"/>
      <w:lvlText w:val="%3."/>
      <w:lvlJc w:val="right"/>
      <w:pPr>
        <w:tabs>
          <w:tab w:val="num" w:pos="2727"/>
        </w:tabs>
        <w:ind w:left="2727" w:hanging="180"/>
      </w:pPr>
    </w:lvl>
    <w:lvl w:ilvl="3" w:tplc="71CC2224">
      <w:start w:val="1"/>
      <w:numFmt w:val="decimal"/>
      <w:lvlText w:val="%4."/>
      <w:lvlJc w:val="left"/>
      <w:pPr>
        <w:tabs>
          <w:tab w:val="num" w:pos="3447"/>
        </w:tabs>
        <w:ind w:left="3447" w:hanging="360"/>
      </w:pPr>
    </w:lvl>
    <w:lvl w:ilvl="4" w:tplc="01FA35F6">
      <w:start w:val="1"/>
      <w:numFmt w:val="lowerLetter"/>
      <w:lvlText w:val="%5."/>
      <w:lvlJc w:val="left"/>
      <w:pPr>
        <w:tabs>
          <w:tab w:val="num" w:pos="4167"/>
        </w:tabs>
        <w:ind w:left="4167" w:hanging="360"/>
      </w:pPr>
    </w:lvl>
    <w:lvl w:ilvl="5" w:tplc="898AEB14">
      <w:start w:val="1"/>
      <w:numFmt w:val="lowerRoman"/>
      <w:lvlText w:val="%6."/>
      <w:lvlJc w:val="right"/>
      <w:pPr>
        <w:tabs>
          <w:tab w:val="num" w:pos="4887"/>
        </w:tabs>
        <w:ind w:left="4887" w:hanging="180"/>
      </w:pPr>
    </w:lvl>
    <w:lvl w:ilvl="6" w:tplc="06B473B6">
      <w:start w:val="1"/>
      <w:numFmt w:val="decimal"/>
      <w:lvlText w:val="%7."/>
      <w:lvlJc w:val="left"/>
      <w:pPr>
        <w:tabs>
          <w:tab w:val="num" w:pos="5607"/>
        </w:tabs>
        <w:ind w:left="5607" w:hanging="360"/>
      </w:pPr>
    </w:lvl>
    <w:lvl w:ilvl="7" w:tplc="6D26A292">
      <w:start w:val="1"/>
      <w:numFmt w:val="lowerLetter"/>
      <w:lvlText w:val="%8."/>
      <w:lvlJc w:val="left"/>
      <w:pPr>
        <w:tabs>
          <w:tab w:val="num" w:pos="6327"/>
        </w:tabs>
        <w:ind w:left="6327" w:hanging="360"/>
      </w:pPr>
    </w:lvl>
    <w:lvl w:ilvl="8" w:tplc="69183512">
      <w:start w:val="1"/>
      <w:numFmt w:val="lowerRoman"/>
      <w:lvlText w:val="%9."/>
      <w:lvlJc w:val="right"/>
      <w:pPr>
        <w:tabs>
          <w:tab w:val="num" w:pos="7047"/>
        </w:tabs>
        <w:ind w:left="7047" w:hanging="180"/>
      </w:pPr>
    </w:lvl>
  </w:abstractNum>
  <w:abstractNum w:abstractNumId="35" w15:restartNumberingAfterBreak="0">
    <w:nsid w:val="7F6B0C93"/>
    <w:multiLevelType w:val="hybridMultilevel"/>
    <w:tmpl w:val="1944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50721"/>
    <w:multiLevelType w:val="hybridMultilevel"/>
    <w:tmpl w:val="73EC96F4"/>
    <w:lvl w:ilvl="0" w:tplc="FFFFFFFF">
      <w:start w:val="1"/>
      <w:numFmt w:val="bullet"/>
      <w:lvlText w:val=""/>
      <w:lvlJc w:val="left"/>
      <w:pPr>
        <w:tabs>
          <w:tab w:val="num" w:pos="567"/>
        </w:tabs>
        <w:ind w:left="567" w:hanging="567"/>
      </w:pPr>
      <w:rPr>
        <w:rFonts w:ascii="Symbol" w:hAnsi="Symbol" w:hint="default"/>
        <w:b w:val="0"/>
        <w:i w:val="0"/>
        <w:iCs/>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3"/>
  </w:num>
  <w:num w:numId="2">
    <w:abstractNumId w:val="30"/>
  </w:num>
  <w:num w:numId="3">
    <w:abstractNumId w:val="22"/>
  </w:num>
  <w:num w:numId="4">
    <w:abstractNumId w:val="28"/>
  </w:num>
  <w:num w:numId="5">
    <w:abstractNumId w:val="20"/>
  </w:num>
  <w:num w:numId="6">
    <w:abstractNumId w:val="8"/>
  </w:num>
  <w:num w:numId="7">
    <w:abstractNumId w:val="12"/>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
  </w:num>
  <w:num w:numId="1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29"/>
  </w:num>
  <w:num w:numId="17">
    <w:abstractNumId w:val="18"/>
  </w:num>
  <w:num w:numId="1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7"/>
  </w:num>
  <w:num w:numId="21">
    <w:abstractNumId w:val="9"/>
  </w:num>
  <w:num w:numId="22">
    <w:abstractNumId w:val="34"/>
  </w:num>
  <w:num w:numId="2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25"/>
  </w:num>
  <w:num w:numId="28">
    <w:abstractNumId w:val="5"/>
  </w:num>
  <w:num w:numId="29">
    <w:abstractNumId w:val="35"/>
  </w:num>
  <w:num w:numId="30">
    <w:abstractNumId w:val="7"/>
  </w:num>
  <w:num w:numId="31">
    <w:abstractNumId w:val="11"/>
  </w:num>
  <w:num w:numId="32">
    <w:abstractNumId w:val="1"/>
  </w:num>
  <w:num w:numId="33">
    <w:abstractNumId w:val="17"/>
  </w:num>
  <w:num w:numId="34">
    <w:abstractNumId w:val="2"/>
  </w:num>
  <w:num w:numId="35">
    <w:abstractNumId w:val="21"/>
  </w:num>
  <w:num w:numId="36">
    <w:abstractNumId w:val="31"/>
  </w:num>
  <w:num w:numId="37">
    <w:abstractNumId w:val="6"/>
  </w:num>
  <w:num w:numId="38">
    <w:abstractNumId w:val="15"/>
  </w:num>
  <w:num w:numId="39">
    <w:abstractNumId w:val="26"/>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328A"/>
    <w:rsid w:val="00003546"/>
    <w:rsid w:val="000276ED"/>
    <w:rsid w:val="000338B0"/>
    <w:rsid w:val="00035BD4"/>
    <w:rsid w:val="00046B73"/>
    <w:rsid w:val="0005152B"/>
    <w:rsid w:val="00065823"/>
    <w:rsid w:val="00067F0E"/>
    <w:rsid w:val="000702A5"/>
    <w:rsid w:val="00070B4F"/>
    <w:rsid w:val="000751FC"/>
    <w:rsid w:val="0008132B"/>
    <w:rsid w:val="00085C99"/>
    <w:rsid w:val="00087868"/>
    <w:rsid w:val="0009071E"/>
    <w:rsid w:val="00091C6E"/>
    <w:rsid w:val="000A03A0"/>
    <w:rsid w:val="000A672E"/>
    <w:rsid w:val="000B1571"/>
    <w:rsid w:val="000C5301"/>
    <w:rsid w:val="000C5406"/>
    <w:rsid w:val="000C5FF9"/>
    <w:rsid w:val="000D2A43"/>
    <w:rsid w:val="000E0A64"/>
    <w:rsid w:val="000E329F"/>
    <w:rsid w:val="000F2877"/>
    <w:rsid w:val="000F645C"/>
    <w:rsid w:val="000F6583"/>
    <w:rsid w:val="000F75CB"/>
    <w:rsid w:val="00100460"/>
    <w:rsid w:val="00101A2A"/>
    <w:rsid w:val="00101CA8"/>
    <w:rsid w:val="001236E4"/>
    <w:rsid w:val="00126587"/>
    <w:rsid w:val="00137E1C"/>
    <w:rsid w:val="0014080A"/>
    <w:rsid w:val="00143A01"/>
    <w:rsid w:val="00161197"/>
    <w:rsid w:val="00164759"/>
    <w:rsid w:val="00170E9B"/>
    <w:rsid w:val="00171B86"/>
    <w:rsid w:val="00172755"/>
    <w:rsid w:val="00176E81"/>
    <w:rsid w:val="00186523"/>
    <w:rsid w:val="001A5807"/>
    <w:rsid w:val="001B4171"/>
    <w:rsid w:val="001D4C7A"/>
    <w:rsid w:val="001E7EE4"/>
    <w:rsid w:val="001F4872"/>
    <w:rsid w:val="001F5AF4"/>
    <w:rsid w:val="001F7540"/>
    <w:rsid w:val="001F7BEF"/>
    <w:rsid w:val="00204973"/>
    <w:rsid w:val="002102FA"/>
    <w:rsid w:val="00210AEC"/>
    <w:rsid w:val="00234477"/>
    <w:rsid w:val="0025620C"/>
    <w:rsid w:val="00257296"/>
    <w:rsid w:val="00261A74"/>
    <w:rsid w:val="00282A51"/>
    <w:rsid w:val="0028310B"/>
    <w:rsid w:val="002857E8"/>
    <w:rsid w:val="00285D43"/>
    <w:rsid w:val="00292F3C"/>
    <w:rsid w:val="00296305"/>
    <w:rsid w:val="002A2943"/>
    <w:rsid w:val="002A5BA0"/>
    <w:rsid w:val="002B3562"/>
    <w:rsid w:val="002C1284"/>
    <w:rsid w:val="002C7277"/>
    <w:rsid w:val="002C77A3"/>
    <w:rsid w:val="002D2919"/>
    <w:rsid w:val="002D4478"/>
    <w:rsid w:val="002D61C4"/>
    <w:rsid w:val="002D6359"/>
    <w:rsid w:val="002D692E"/>
    <w:rsid w:val="002E19ED"/>
    <w:rsid w:val="002E5B82"/>
    <w:rsid w:val="002E6858"/>
    <w:rsid w:val="00312A47"/>
    <w:rsid w:val="0031560E"/>
    <w:rsid w:val="003178EC"/>
    <w:rsid w:val="003247DD"/>
    <w:rsid w:val="00327BF2"/>
    <w:rsid w:val="00346BB6"/>
    <w:rsid w:val="003505BC"/>
    <w:rsid w:val="00357988"/>
    <w:rsid w:val="00364B83"/>
    <w:rsid w:val="00376EAF"/>
    <w:rsid w:val="00380522"/>
    <w:rsid w:val="00386505"/>
    <w:rsid w:val="003A0340"/>
    <w:rsid w:val="003A3A64"/>
    <w:rsid w:val="003B6620"/>
    <w:rsid w:val="003B70C0"/>
    <w:rsid w:val="003D39E5"/>
    <w:rsid w:val="003E0E80"/>
    <w:rsid w:val="003E3AB0"/>
    <w:rsid w:val="00410715"/>
    <w:rsid w:val="004114F8"/>
    <w:rsid w:val="0041259A"/>
    <w:rsid w:val="00413911"/>
    <w:rsid w:val="0041722B"/>
    <w:rsid w:val="00426721"/>
    <w:rsid w:val="004347BF"/>
    <w:rsid w:val="00444039"/>
    <w:rsid w:val="00447A84"/>
    <w:rsid w:val="0045203D"/>
    <w:rsid w:val="00457821"/>
    <w:rsid w:val="00460154"/>
    <w:rsid w:val="0046387B"/>
    <w:rsid w:val="004750E0"/>
    <w:rsid w:val="00475300"/>
    <w:rsid w:val="00483CC4"/>
    <w:rsid w:val="00483D4C"/>
    <w:rsid w:val="004A4C9B"/>
    <w:rsid w:val="004B46B5"/>
    <w:rsid w:val="004C17C2"/>
    <w:rsid w:val="004D3AF0"/>
    <w:rsid w:val="004E3810"/>
    <w:rsid w:val="004E4EBA"/>
    <w:rsid w:val="004F01CA"/>
    <w:rsid w:val="004F21F7"/>
    <w:rsid w:val="004F431E"/>
    <w:rsid w:val="004F4F5A"/>
    <w:rsid w:val="00502185"/>
    <w:rsid w:val="00502E67"/>
    <w:rsid w:val="00510168"/>
    <w:rsid w:val="00517D9D"/>
    <w:rsid w:val="00525846"/>
    <w:rsid w:val="00531F47"/>
    <w:rsid w:val="005346AC"/>
    <w:rsid w:val="00545EDD"/>
    <w:rsid w:val="00547E6D"/>
    <w:rsid w:val="00551BF6"/>
    <w:rsid w:val="005604DD"/>
    <w:rsid w:val="00564EDD"/>
    <w:rsid w:val="005765BB"/>
    <w:rsid w:val="005809C6"/>
    <w:rsid w:val="00593082"/>
    <w:rsid w:val="00594CC6"/>
    <w:rsid w:val="0059786F"/>
    <w:rsid w:val="005A32B5"/>
    <w:rsid w:val="005C0F80"/>
    <w:rsid w:val="005C229C"/>
    <w:rsid w:val="005C3136"/>
    <w:rsid w:val="005C5465"/>
    <w:rsid w:val="005C787F"/>
    <w:rsid w:val="005E497A"/>
    <w:rsid w:val="005E4C29"/>
    <w:rsid w:val="005E531A"/>
    <w:rsid w:val="006005CB"/>
    <w:rsid w:val="00601A67"/>
    <w:rsid w:val="00606CF8"/>
    <w:rsid w:val="00607B3A"/>
    <w:rsid w:val="00612993"/>
    <w:rsid w:val="00614CC5"/>
    <w:rsid w:val="00622A9C"/>
    <w:rsid w:val="006323FD"/>
    <w:rsid w:val="006348F5"/>
    <w:rsid w:val="0063725F"/>
    <w:rsid w:val="00640BB0"/>
    <w:rsid w:val="00641609"/>
    <w:rsid w:val="00650D2E"/>
    <w:rsid w:val="00654655"/>
    <w:rsid w:val="006548B9"/>
    <w:rsid w:val="0065757E"/>
    <w:rsid w:val="00681CA3"/>
    <w:rsid w:val="00693355"/>
    <w:rsid w:val="006A1DA9"/>
    <w:rsid w:val="006A557B"/>
    <w:rsid w:val="006A7267"/>
    <w:rsid w:val="006C1103"/>
    <w:rsid w:val="006C538C"/>
    <w:rsid w:val="006D4664"/>
    <w:rsid w:val="006D5C7C"/>
    <w:rsid w:val="006E7DD5"/>
    <w:rsid w:val="006F5DB6"/>
    <w:rsid w:val="00706128"/>
    <w:rsid w:val="00710C8C"/>
    <w:rsid w:val="00724588"/>
    <w:rsid w:val="00731E86"/>
    <w:rsid w:val="00733D1A"/>
    <w:rsid w:val="00741972"/>
    <w:rsid w:val="007457C7"/>
    <w:rsid w:val="007468D3"/>
    <w:rsid w:val="00753DE9"/>
    <w:rsid w:val="00765C87"/>
    <w:rsid w:val="00771AFC"/>
    <w:rsid w:val="00772DAD"/>
    <w:rsid w:val="00774BC4"/>
    <w:rsid w:val="00791EEA"/>
    <w:rsid w:val="0079324B"/>
    <w:rsid w:val="00797ABD"/>
    <w:rsid w:val="007A0CB0"/>
    <w:rsid w:val="007A4E0F"/>
    <w:rsid w:val="007A673C"/>
    <w:rsid w:val="007B59C1"/>
    <w:rsid w:val="007B5BD4"/>
    <w:rsid w:val="007C18CC"/>
    <w:rsid w:val="007D060A"/>
    <w:rsid w:val="007D2216"/>
    <w:rsid w:val="007D7D5D"/>
    <w:rsid w:val="007E2070"/>
    <w:rsid w:val="007E3947"/>
    <w:rsid w:val="007E3B3B"/>
    <w:rsid w:val="007E4749"/>
    <w:rsid w:val="007E47C3"/>
    <w:rsid w:val="00824154"/>
    <w:rsid w:val="00824B0F"/>
    <w:rsid w:val="00827ECA"/>
    <w:rsid w:val="00832497"/>
    <w:rsid w:val="00833B12"/>
    <w:rsid w:val="00834AE0"/>
    <w:rsid w:val="0084028F"/>
    <w:rsid w:val="00843EA5"/>
    <w:rsid w:val="00844C07"/>
    <w:rsid w:val="00847853"/>
    <w:rsid w:val="00851631"/>
    <w:rsid w:val="00851875"/>
    <w:rsid w:val="008539A6"/>
    <w:rsid w:val="0085583E"/>
    <w:rsid w:val="008579B5"/>
    <w:rsid w:val="00862781"/>
    <w:rsid w:val="00864BCC"/>
    <w:rsid w:val="00873A16"/>
    <w:rsid w:val="00875687"/>
    <w:rsid w:val="0088131C"/>
    <w:rsid w:val="00891FDF"/>
    <w:rsid w:val="008A4C2F"/>
    <w:rsid w:val="008B1044"/>
    <w:rsid w:val="008C1B17"/>
    <w:rsid w:val="008F39D6"/>
    <w:rsid w:val="008F4963"/>
    <w:rsid w:val="009044F4"/>
    <w:rsid w:val="00907422"/>
    <w:rsid w:val="00911F44"/>
    <w:rsid w:val="00913E81"/>
    <w:rsid w:val="009148E7"/>
    <w:rsid w:val="009157BD"/>
    <w:rsid w:val="009263F2"/>
    <w:rsid w:val="00943847"/>
    <w:rsid w:val="009577DF"/>
    <w:rsid w:val="0096488C"/>
    <w:rsid w:val="009706BE"/>
    <w:rsid w:val="00974AB3"/>
    <w:rsid w:val="00984065"/>
    <w:rsid w:val="00986C8D"/>
    <w:rsid w:val="009A1562"/>
    <w:rsid w:val="009A5364"/>
    <w:rsid w:val="009B0A72"/>
    <w:rsid w:val="009B0EB2"/>
    <w:rsid w:val="009C2F73"/>
    <w:rsid w:val="009C33D8"/>
    <w:rsid w:val="009C48D4"/>
    <w:rsid w:val="009C7DF1"/>
    <w:rsid w:val="009D4385"/>
    <w:rsid w:val="009D625C"/>
    <w:rsid w:val="009F2E1D"/>
    <w:rsid w:val="009F59B3"/>
    <w:rsid w:val="00A00E8D"/>
    <w:rsid w:val="00A0164F"/>
    <w:rsid w:val="00A0174A"/>
    <w:rsid w:val="00A03068"/>
    <w:rsid w:val="00A055E9"/>
    <w:rsid w:val="00A26A80"/>
    <w:rsid w:val="00A34438"/>
    <w:rsid w:val="00A356DB"/>
    <w:rsid w:val="00A4689A"/>
    <w:rsid w:val="00A50FC3"/>
    <w:rsid w:val="00A521D5"/>
    <w:rsid w:val="00A74C28"/>
    <w:rsid w:val="00A7717D"/>
    <w:rsid w:val="00A8011B"/>
    <w:rsid w:val="00A86B02"/>
    <w:rsid w:val="00A9290B"/>
    <w:rsid w:val="00A97D22"/>
    <w:rsid w:val="00AA14E0"/>
    <w:rsid w:val="00AA4EED"/>
    <w:rsid w:val="00AA517C"/>
    <w:rsid w:val="00AA7A0B"/>
    <w:rsid w:val="00AB4677"/>
    <w:rsid w:val="00AC46A9"/>
    <w:rsid w:val="00AC47B7"/>
    <w:rsid w:val="00AD1450"/>
    <w:rsid w:val="00AD1E00"/>
    <w:rsid w:val="00AD4A89"/>
    <w:rsid w:val="00AD4C0D"/>
    <w:rsid w:val="00AF212B"/>
    <w:rsid w:val="00B02F8B"/>
    <w:rsid w:val="00B24364"/>
    <w:rsid w:val="00B2573C"/>
    <w:rsid w:val="00B36D2A"/>
    <w:rsid w:val="00B4077D"/>
    <w:rsid w:val="00B42082"/>
    <w:rsid w:val="00B57B5F"/>
    <w:rsid w:val="00B60697"/>
    <w:rsid w:val="00B91638"/>
    <w:rsid w:val="00B956F3"/>
    <w:rsid w:val="00BA222C"/>
    <w:rsid w:val="00BA4CCA"/>
    <w:rsid w:val="00BB1042"/>
    <w:rsid w:val="00BC25D4"/>
    <w:rsid w:val="00BD3A7A"/>
    <w:rsid w:val="00BD56EC"/>
    <w:rsid w:val="00BE11AA"/>
    <w:rsid w:val="00BE2B7B"/>
    <w:rsid w:val="00BE37AE"/>
    <w:rsid w:val="00BF0E0D"/>
    <w:rsid w:val="00BF1781"/>
    <w:rsid w:val="00BF6D5D"/>
    <w:rsid w:val="00C058BA"/>
    <w:rsid w:val="00C2037E"/>
    <w:rsid w:val="00C21563"/>
    <w:rsid w:val="00C30009"/>
    <w:rsid w:val="00C3627D"/>
    <w:rsid w:val="00C3676B"/>
    <w:rsid w:val="00C55098"/>
    <w:rsid w:val="00C579D2"/>
    <w:rsid w:val="00C72C8D"/>
    <w:rsid w:val="00C76112"/>
    <w:rsid w:val="00C77EB7"/>
    <w:rsid w:val="00C8770F"/>
    <w:rsid w:val="00C91B5F"/>
    <w:rsid w:val="00CA66DE"/>
    <w:rsid w:val="00CC5D74"/>
    <w:rsid w:val="00CD2853"/>
    <w:rsid w:val="00CE167A"/>
    <w:rsid w:val="00CE1CEB"/>
    <w:rsid w:val="00CE739F"/>
    <w:rsid w:val="00CF3CF7"/>
    <w:rsid w:val="00CF452B"/>
    <w:rsid w:val="00D009F3"/>
    <w:rsid w:val="00D0140D"/>
    <w:rsid w:val="00D049A6"/>
    <w:rsid w:val="00D2217D"/>
    <w:rsid w:val="00D23AAF"/>
    <w:rsid w:val="00D275EE"/>
    <w:rsid w:val="00D34C3F"/>
    <w:rsid w:val="00D363C5"/>
    <w:rsid w:val="00D52689"/>
    <w:rsid w:val="00D810A5"/>
    <w:rsid w:val="00D82C7A"/>
    <w:rsid w:val="00D84894"/>
    <w:rsid w:val="00D912AF"/>
    <w:rsid w:val="00D929F4"/>
    <w:rsid w:val="00DA79E4"/>
    <w:rsid w:val="00DB01C1"/>
    <w:rsid w:val="00DC6BC3"/>
    <w:rsid w:val="00DD2495"/>
    <w:rsid w:val="00DE5560"/>
    <w:rsid w:val="00DF7476"/>
    <w:rsid w:val="00E32FA5"/>
    <w:rsid w:val="00E40B32"/>
    <w:rsid w:val="00E431AF"/>
    <w:rsid w:val="00E50260"/>
    <w:rsid w:val="00E51D36"/>
    <w:rsid w:val="00E52AAC"/>
    <w:rsid w:val="00E71E0A"/>
    <w:rsid w:val="00E7234E"/>
    <w:rsid w:val="00E74955"/>
    <w:rsid w:val="00E84171"/>
    <w:rsid w:val="00E964F7"/>
    <w:rsid w:val="00E9790C"/>
    <w:rsid w:val="00EA1ED7"/>
    <w:rsid w:val="00EA201A"/>
    <w:rsid w:val="00EB4A67"/>
    <w:rsid w:val="00EB6277"/>
    <w:rsid w:val="00EC0007"/>
    <w:rsid w:val="00EC3903"/>
    <w:rsid w:val="00EC6A50"/>
    <w:rsid w:val="00ED5C54"/>
    <w:rsid w:val="00EE30F1"/>
    <w:rsid w:val="00EF3038"/>
    <w:rsid w:val="00EF47FF"/>
    <w:rsid w:val="00EF5C37"/>
    <w:rsid w:val="00EF5F17"/>
    <w:rsid w:val="00F15273"/>
    <w:rsid w:val="00F1779C"/>
    <w:rsid w:val="00F202CD"/>
    <w:rsid w:val="00F23BE7"/>
    <w:rsid w:val="00F24331"/>
    <w:rsid w:val="00F3040F"/>
    <w:rsid w:val="00F3217F"/>
    <w:rsid w:val="00F33555"/>
    <w:rsid w:val="00F354E6"/>
    <w:rsid w:val="00F424A3"/>
    <w:rsid w:val="00F44F88"/>
    <w:rsid w:val="00F47914"/>
    <w:rsid w:val="00F54495"/>
    <w:rsid w:val="00F5519C"/>
    <w:rsid w:val="00F60644"/>
    <w:rsid w:val="00F67E18"/>
    <w:rsid w:val="00F708A0"/>
    <w:rsid w:val="00F71461"/>
    <w:rsid w:val="00F76139"/>
    <w:rsid w:val="00F76206"/>
    <w:rsid w:val="00F76A08"/>
    <w:rsid w:val="00F929C3"/>
    <w:rsid w:val="00F94F5C"/>
    <w:rsid w:val="00FB2F2E"/>
    <w:rsid w:val="00FB3526"/>
    <w:rsid w:val="00FC0D17"/>
    <w:rsid w:val="00FC279E"/>
    <w:rsid w:val="00FC4EF0"/>
    <w:rsid w:val="00FC6842"/>
    <w:rsid w:val="00FC6C93"/>
    <w:rsid w:val="00FD3D5F"/>
    <w:rsid w:val="00FD445D"/>
    <w:rsid w:val="00FE4A55"/>
    <w:rsid w:val="00FF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link w:val="ListParagraphChar"/>
    <w:uiPriority w:val="34"/>
    <w:qFormat/>
    <w:rsid w:val="007E4749"/>
    <w:pPr>
      <w:spacing w:after="160" w:line="259" w:lineRule="auto"/>
      <w:ind w:left="720"/>
      <w:contextualSpacing/>
    </w:pPr>
  </w:style>
  <w:style w:type="character" w:styleId="CommentReference">
    <w:name w:val="annotation reference"/>
    <w:basedOn w:val="DefaultParagraphFont"/>
    <w:uiPriority w:val="99"/>
    <w:semiHidden/>
    <w:unhideWhenUsed/>
    <w:rsid w:val="00F94F5C"/>
    <w:rPr>
      <w:sz w:val="16"/>
      <w:szCs w:val="16"/>
    </w:rPr>
  </w:style>
  <w:style w:type="paragraph" w:styleId="CommentText">
    <w:name w:val="annotation text"/>
    <w:basedOn w:val="Normal"/>
    <w:link w:val="CommentTextChar"/>
    <w:uiPriority w:val="99"/>
    <w:semiHidden/>
    <w:unhideWhenUsed/>
    <w:rsid w:val="00F94F5C"/>
    <w:pPr>
      <w:spacing w:line="240" w:lineRule="auto"/>
    </w:pPr>
    <w:rPr>
      <w:sz w:val="20"/>
      <w:szCs w:val="20"/>
    </w:rPr>
  </w:style>
  <w:style w:type="character" w:customStyle="1" w:styleId="CommentTextChar">
    <w:name w:val="Comment Text Char"/>
    <w:basedOn w:val="DefaultParagraphFont"/>
    <w:link w:val="CommentText"/>
    <w:uiPriority w:val="99"/>
    <w:semiHidden/>
    <w:rsid w:val="00F94F5C"/>
    <w:rPr>
      <w:sz w:val="20"/>
      <w:szCs w:val="20"/>
    </w:rPr>
  </w:style>
  <w:style w:type="paragraph" w:styleId="CommentSubject">
    <w:name w:val="annotation subject"/>
    <w:basedOn w:val="CommentText"/>
    <w:next w:val="CommentText"/>
    <w:link w:val="CommentSubjectChar"/>
    <w:uiPriority w:val="99"/>
    <w:semiHidden/>
    <w:unhideWhenUsed/>
    <w:rsid w:val="00F94F5C"/>
    <w:rPr>
      <w:b/>
      <w:bCs/>
    </w:rPr>
  </w:style>
  <w:style w:type="character" w:customStyle="1" w:styleId="CommentSubjectChar">
    <w:name w:val="Comment Subject Char"/>
    <w:basedOn w:val="CommentTextChar"/>
    <w:link w:val="CommentSubject"/>
    <w:uiPriority w:val="99"/>
    <w:semiHidden/>
    <w:rsid w:val="00F94F5C"/>
    <w:rPr>
      <w:b/>
      <w:bCs/>
      <w:sz w:val="20"/>
      <w:szCs w:val="20"/>
    </w:rPr>
  </w:style>
  <w:style w:type="character" w:customStyle="1" w:styleId="ListParagraphChar">
    <w:name w:val="List Paragraph Char"/>
    <w:basedOn w:val="DefaultParagraphFont"/>
    <w:link w:val="ListParagraph"/>
    <w:uiPriority w:val="34"/>
    <w:locked/>
    <w:rsid w:val="00B57B5F"/>
  </w:style>
  <w:style w:type="paragraph" w:styleId="TOCHeading">
    <w:name w:val="TOC Heading"/>
    <w:basedOn w:val="Heading1"/>
    <w:next w:val="Normal"/>
    <w:uiPriority w:val="39"/>
    <w:unhideWhenUsed/>
    <w:qFormat/>
    <w:rsid w:val="009C33D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Default">
    <w:name w:val="Default"/>
    <w:rsid w:val="009C33D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986">
      <w:bodyDiv w:val="1"/>
      <w:marLeft w:val="0"/>
      <w:marRight w:val="0"/>
      <w:marTop w:val="0"/>
      <w:marBottom w:val="0"/>
      <w:divBdr>
        <w:top w:val="none" w:sz="0" w:space="0" w:color="auto"/>
        <w:left w:val="none" w:sz="0" w:space="0" w:color="auto"/>
        <w:bottom w:val="none" w:sz="0" w:space="0" w:color="auto"/>
        <w:right w:val="none" w:sz="0" w:space="0" w:color="auto"/>
      </w:divBdr>
    </w:div>
    <w:div w:id="78450017">
      <w:bodyDiv w:val="1"/>
      <w:marLeft w:val="0"/>
      <w:marRight w:val="0"/>
      <w:marTop w:val="0"/>
      <w:marBottom w:val="0"/>
      <w:divBdr>
        <w:top w:val="none" w:sz="0" w:space="0" w:color="auto"/>
        <w:left w:val="none" w:sz="0" w:space="0" w:color="auto"/>
        <w:bottom w:val="none" w:sz="0" w:space="0" w:color="auto"/>
        <w:right w:val="none" w:sz="0" w:space="0" w:color="auto"/>
      </w:divBdr>
    </w:div>
    <w:div w:id="192425162">
      <w:bodyDiv w:val="1"/>
      <w:marLeft w:val="0"/>
      <w:marRight w:val="0"/>
      <w:marTop w:val="0"/>
      <w:marBottom w:val="0"/>
      <w:divBdr>
        <w:top w:val="none" w:sz="0" w:space="0" w:color="auto"/>
        <w:left w:val="none" w:sz="0" w:space="0" w:color="auto"/>
        <w:bottom w:val="none" w:sz="0" w:space="0" w:color="auto"/>
        <w:right w:val="none" w:sz="0" w:space="0" w:color="auto"/>
      </w:divBdr>
    </w:div>
    <w:div w:id="295139294">
      <w:bodyDiv w:val="1"/>
      <w:marLeft w:val="0"/>
      <w:marRight w:val="0"/>
      <w:marTop w:val="0"/>
      <w:marBottom w:val="0"/>
      <w:divBdr>
        <w:top w:val="none" w:sz="0" w:space="0" w:color="auto"/>
        <w:left w:val="none" w:sz="0" w:space="0" w:color="auto"/>
        <w:bottom w:val="none" w:sz="0" w:space="0" w:color="auto"/>
        <w:right w:val="none" w:sz="0" w:space="0" w:color="auto"/>
      </w:divBdr>
    </w:div>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586882952">
      <w:bodyDiv w:val="1"/>
      <w:marLeft w:val="0"/>
      <w:marRight w:val="0"/>
      <w:marTop w:val="0"/>
      <w:marBottom w:val="0"/>
      <w:divBdr>
        <w:top w:val="none" w:sz="0" w:space="0" w:color="auto"/>
        <w:left w:val="none" w:sz="0" w:space="0" w:color="auto"/>
        <w:bottom w:val="none" w:sz="0" w:space="0" w:color="auto"/>
        <w:right w:val="none" w:sz="0" w:space="0" w:color="auto"/>
      </w:divBdr>
    </w:div>
    <w:div w:id="859706437">
      <w:bodyDiv w:val="1"/>
      <w:marLeft w:val="0"/>
      <w:marRight w:val="0"/>
      <w:marTop w:val="0"/>
      <w:marBottom w:val="0"/>
      <w:divBdr>
        <w:top w:val="none" w:sz="0" w:space="0" w:color="auto"/>
        <w:left w:val="none" w:sz="0" w:space="0" w:color="auto"/>
        <w:bottom w:val="none" w:sz="0" w:space="0" w:color="auto"/>
        <w:right w:val="none" w:sz="0" w:space="0" w:color="auto"/>
      </w:divBdr>
    </w:div>
    <w:div w:id="950435756">
      <w:bodyDiv w:val="1"/>
      <w:marLeft w:val="0"/>
      <w:marRight w:val="0"/>
      <w:marTop w:val="0"/>
      <w:marBottom w:val="0"/>
      <w:divBdr>
        <w:top w:val="none" w:sz="0" w:space="0" w:color="auto"/>
        <w:left w:val="none" w:sz="0" w:space="0" w:color="auto"/>
        <w:bottom w:val="none" w:sz="0" w:space="0" w:color="auto"/>
        <w:right w:val="none" w:sz="0" w:space="0" w:color="auto"/>
      </w:divBdr>
    </w:div>
    <w:div w:id="1148670945">
      <w:bodyDiv w:val="1"/>
      <w:marLeft w:val="0"/>
      <w:marRight w:val="0"/>
      <w:marTop w:val="0"/>
      <w:marBottom w:val="0"/>
      <w:divBdr>
        <w:top w:val="none" w:sz="0" w:space="0" w:color="auto"/>
        <w:left w:val="none" w:sz="0" w:space="0" w:color="auto"/>
        <w:bottom w:val="none" w:sz="0" w:space="0" w:color="auto"/>
        <w:right w:val="none" w:sz="0" w:space="0" w:color="auto"/>
      </w:divBdr>
    </w:div>
    <w:div w:id="1383677084">
      <w:bodyDiv w:val="1"/>
      <w:marLeft w:val="0"/>
      <w:marRight w:val="0"/>
      <w:marTop w:val="0"/>
      <w:marBottom w:val="0"/>
      <w:divBdr>
        <w:top w:val="none" w:sz="0" w:space="0" w:color="auto"/>
        <w:left w:val="none" w:sz="0" w:space="0" w:color="auto"/>
        <w:bottom w:val="none" w:sz="0" w:space="0" w:color="auto"/>
        <w:right w:val="none" w:sz="0" w:space="0" w:color="auto"/>
      </w:divBdr>
    </w:div>
    <w:div w:id="1429428915">
      <w:bodyDiv w:val="1"/>
      <w:marLeft w:val="0"/>
      <w:marRight w:val="0"/>
      <w:marTop w:val="0"/>
      <w:marBottom w:val="0"/>
      <w:divBdr>
        <w:top w:val="none" w:sz="0" w:space="0" w:color="auto"/>
        <w:left w:val="none" w:sz="0" w:space="0" w:color="auto"/>
        <w:bottom w:val="none" w:sz="0" w:space="0" w:color="auto"/>
        <w:right w:val="none" w:sz="0" w:space="0" w:color="auto"/>
      </w:divBdr>
    </w:div>
    <w:div w:id="1452439317">
      <w:bodyDiv w:val="1"/>
      <w:marLeft w:val="0"/>
      <w:marRight w:val="0"/>
      <w:marTop w:val="0"/>
      <w:marBottom w:val="0"/>
      <w:divBdr>
        <w:top w:val="none" w:sz="0" w:space="0" w:color="auto"/>
        <w:left w:val="none" w:sz="0" w:space="0" w:color="auto"/>
        <w:bottom w:val="none" w:sz="0" w:space="0" w:color="auto"/>
        <w:right w:val="none" w:sz="0" w:space="0" w:color="auto"/>
      </w:divBdr>
    </w:div>
    <w:div w:id="1469518742">
      <w:bodyDiv w:val="1"/>
      <w:marLeft w:val="0"/>
      <w:marRight w:val="0"/>
      <w:marTop w:val="0"/>
      <w:marBottom w:val="0"/>
      <w:divBdr>
        <w:top w:val="none" w:sz="0" w:space="0" w:color="auto"/>
        <w:left w:val="none" w:sz="0" w:space="0" w:color="auto"/>
        <w:bottom w:val="none" w:sz="0" w:space="0" w:color="auto"/>
        <w:right w:val="none" w:sz="0" w:space="0" w:color="auto"/>
      </w:divBdr>
    </w:div>
    <w:div w:id="1577782331">
      <w:bodyDiv w:val="1"/>
      <w:marLeft w:val="0"/>
      <w:marRight w:val="0"/>
      <w:marTop w:val="0"/>
      <w:marBottom w:val="0"/>
      <w:divBdr>
        <w:top w:val="none" w:sz="0" w:space="0" w:color="auto"/>
        <w:left w:val="none" w:sz="0" w:space="0" w:color="auto"/>
        <w:bottom w:val="none" w:sz="0" w:space="0" w:color="auto"/>
        <w:right w:val="none" w:sz="0" w:space="0" w:color="auto"/>
      </w:divBdr>
    </w:div>
    <w:div w:id="1648583932">
      <w:bodyDiv w:val="1"/>
      <w:marLeft w:val="0"/>
      <w:marRight w:val="0"/>
      <w:marTop w:val="0"/>
      <w:marBottom w:val="0"/>
      <w:divBdr>
        <w:top w:val="none" w:sz="0" w:space="0" w:color="auto"/>
        <w:left w:val="none" w:sz="0" w:space="0" w:color="auto"/>
        <w:bottom w:val="none" w:sz="0" w:space="0" w:color="auto"/>
        <w:right w:val="none" w:sz="0" w:space="0" w:color="auto"/>
      </w:divBdr>
    </w:div>
    <w:div w:id="1794128156">
      <w:bodyDiv w:val="1"/>
      <w:marLeft w:val="0"/>
      <w:marRight w:val="0"/>
      <w:marTop w:val="0"/>
      <w:marBottom w:val="0"/>
      <w:divBdr>
        <w:top w:val="none" w:sz="0" w:space="0" w:color="auto"/>
        <w:left w:val="none" w:sz="0" w:space="0" w:color="auto"/>
        <w:bottom w:val="none" w:sz="0" w:space="0" w:color="auto"/>
        <w:right w:val="none" w:sz="0" w:space="0" w:color="auto"/>
      </w:divBdr>
    </w:div>
    <w:div w:id="17976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B72A-8E5A-4823-B535-032163A6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Louise Mattinson</cp:lastModifiedBy>
  <cp:revision>16</cp:revision>
  <cp:lastPrinted>2022-02-11T15:23:00Z</cp:lastPrinted>
  <dcterms:created xsi:type="dcterms:W3CDTF">2022-02-15T11:28:00Z</dcterms:created>
  <dcterms:modified xsi:type="dcterms:W3CDTF">2022-02-15T16:45:00Z</dcterms:modified>
</cp:coreProperties>
</file>